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bookmarkStart w:id="0" w:name="_Hlk528770696"/>
            <w:bookmarkEnd w:id="0"/>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CHEMICAL ENGINEERING</w:t>
            </w:r>
            <w:r w:rsidRPr="00B57B36">
              <w:rPr>
                <w:rFonts w:cs="Arial"/>
                <w:b/>
                <w:bCs/>
                <w:i/>
                <w:iCs/>
                <w:color w:val="666666"/>
                <w:sz w:val="24"/>
                <w:szCs w:val="24"/>
                <w:lang w:eastAsia="it-IT"/>
              </w:rPr>
              <w:t>TRANSACTIONS</w:t>
            </w:r>
            <w:r w:rsidRPr="00B57B36">
              <w:rPr>
                <w:rFonts w:cs="Arial"/>
                <w:b/>
                <w:bCs/>
                <w:i/>
                <w:iCs/>
                <w:color w:val="000066"/>
                <w:sz w:val="27"/>
                <w:szCs w:val="27"/>
                <w:lang w:eastAsia="it-IT"/>
              </w:rPr>
              <w:br/>
            </w:r>
          </w:p>
          <w:p w:rsidR="000A03B2" w:rsidRPr="00B57B36" w:rsidRDefault="00A76EFC" w:rsidP="00931170">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31170">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DE5C2A">
        <w:trPr>
          <w:trHeight w:val="68"/>
          <w:jc w:val="center"/>
        </w:trPr>
        <w:tc>
          <w:tcPr>
            <w:tcW w:w="8789" w:type="dxa"/>
            <w:gridSpan w:val="2"/>
          </w:tcPr>
          <w:p w:rsidR="00300E56" w:rsidRPr="008531D2" w:rsidRDefault="00300E56" w:rsidP="003365E3">
            <w:pPr>
              <w:ind w:left="-107"/>
              <w:rPr>
                <w:lang w:val="it-IT"/>
              </w:rPr>
            </w:pPr>
            <w:r w:rsidRPr="008531D2">
              <w:rPr>
                <w:rFonts w:ascii="Tahoma" w:hAnsi="Tahoma" w:cs="Tahoma"/>
                <w:iCs/>
                <w:color w:val="333333"/>
                <w:sz w:val="14"/>
                <w:szCs w:val="14"/>
                <w:lang w:val="it-IT" w:eastAsia="it-IT"/>
              </w:rPr>
              <w:t>Guest Editors:</w:t>
            </w:r>
            <w:r w:rsidR="008531D2" w:rsidRPr="006F0401">
              <w:rPr>
                <w:rFonts w:ascii="Tahoma" w:hAnsi="Tahoma" w:cs="Tahoma"/>
                <w:color w:val="0D0D0D" w:themeColor="text1" w:themeTint="F2"/>
                <w:sz w:val="14"/>
                <w:szCs w:val="14"/>
                <w:lang w:val="it-IT"/>
              </w:rPr>
              <w:t xml:space="preserve">Andrea D’Anna, </w:t>
            </w:r>
            <w:r w:rsidR="008531D2" w:rsidRPr="006F0401">
              <w:rPr>
                <w:rFonts w:ascii="Tahoma" w:hAnsi="Tahoma" w:cs="Tahoma"/>
                <w:bCs/>
                <w:color w:val="0D0D0D" w:themeColor="text1" w:themeTint="F2"/>
                <w:sz w:val="14"/>
                <w:szCs w:val="14"/>
                <w:lang w:val="it-IT"/>
              </w:rPr>
              <w:t>Paolo Ciambelli, Carmelo Sunseri</w:t>
            </w:r>
          </w:p>
          <w:p w:rsidR="000A03B2" w:rsidRPr="00464F7D" w:rsidRDefault="00FA5F5F" w:rsidP="00931170">
            <w:pPr>
              <w:tabs>
                <w:tab w:val="left" w:pos="-108"/>
              </w:tabs>
              <w:spacing w:line="140" w:lineRule="atLeast"/>
              <w:ind w:left="-107"/>
              <w:jc w:val="left"/>
            </w:pPr>
            <w:r w:rsidRPr="00464F7D">
              <w:rPr>
                <w:rFonts w:ascii="Tahoma" w:hAnsi="Tahoma" w:cs="Tahoma"/>
                <w:iCs/>
                <w:color w:val="333333"/>
                <w:sz w:val="14"/>
                <w:szCs w:val="14"/>
                <w:lang w:eastAsia="it-IT"/>
              </w:rPr>
              <w:t>Copyright © 201</w:t>
            </w:r>
            <w:r w:rsidR="007931FA" w:rsidRPr="00464F7D">
              <w:rPr>
                <w:rFonts w:ascii="Tahoma" w:hAnsi="Tahoma" w:cs="Tahoma"/>
                <w:iCs/>
                <w:color w:val="333333"/>
                <w:sz w:val="14"/>
                <w:szCs w:val="14"/>
                <w:lang w:eastAsia="it-IT"/>
              </w:rPr>
              <w:t>9</w:t>
            </w:r>
            <w:r w:rsidR="00904C62" w:rsidRPr="00464F7D">
              <w:rPr>
                <w:rFonts w:ascii="Tahoma" w:hAnsi="Tahoma" w:cs="Tahoma"/>
                <w:iCs/>
                <w:color w:val="333333"/>
                <w:sz w:val="14"/>
                <w:szCs w:val="14"/>
                <w:lang w:eastAsia="it-IT"/>
              </w:rPr>
              <w:t>, AIDIC ServiziS.r.l.</w:t>
            </w:r>
            <w:r w:rsidR="00300E56" w:rsidRPr="00464F7D">
              <w:rPr>
                <w:rFonts w:ascii="Tahoma" w:hAnsi="Tahoma" w:cs="Tahoma"/>
                <w:iCs/>
                <w:color w:val="333333"/>
                <w:sz w:val="14"/>
                <w:szCs w:val="14"/>
                <w:lang w:eastAsia="it-IT"/>
              </w:rPr>
              <w:br/>
            </w:r>
            <w:r w:rsidR="00300E56" w:rsidRPr="00464F7D">
              <w:rPr>
                <w:rFonts w:ascii="Tahoma" w:hAnsi="Tahoma" w:cs="Tahoma"/>
                <w:b/>
                <w:iCs/>
                <w:color w:val="000000"/>
                <w:sz w:val="14"/>
                <w:szCs w:val="14"/>
                <w:lang w:eastAsia="it-IT"/>
              </w:rPr>
              <w:t>ISBN</w:t>
            </w:r>
            <w:r w:rsidR="008D32B9" w:rsidRPr="00464F7D">
              <w:rPr>
                <w:rFonts w:ascii="Tahoma" w:hAnsi="Tahoma" w:cs="Tahoma"/>
                <w:sz w:val="14"/>
                <w:szCs w:val="14"/>
              </w:rPr>
              <w:t>978-88-95608-</w:t>
            </w:r>
            <w:r w:rsidR="008531D2" w:rsidRPr="00464F7D">
              <w:rPr>
                <w:rFonts w:ascii="Tahoma" w:hAnsi="Tahoma" w:cs="Tahoma"/>
                <w:sz w:val="14"/>
                <w:szCs w:val="14"/>
              </w:rPr>
              <w:t>7</w:t>
            </w:r>
            <w:r w:rsidR="00931170">
              <w:rPr>
                <w:rFonts w:ascii="Tahoma" w:hAnsi="Tahoma" w:cs="Tahoma"/>
                <w:sz w:val="14"/>
                <w:szCs w:val="14"/>
              </w:rPr>
              <w:t>0</w:t>
            </w:r>
            <w:r w:rsidR="008D32B9" w:rsidRPr="00464F7D">
              <w:rPr>
                <w:rFonts w:ascii="Tahoma" w:hAnsi="Tahoma" w:cs="Tahoma"/>
                <w:sz w:val="14"/>
                <w:szCs w:val="14"/>
              </w:rPr>
              <w:t>-</w:t>
            </w:r>
            <w:r w:rsidR="00931170">
              <w:rPr>
                <w:rFonts w:ascii="Tahoma" w:hAnsi="Tahoma" w:cs="Tahoma"/>
                <w:sz w:val="14"/>
                <w:szCs w:val="14"/>
              </w:rPr>
              <w:t>9</w:t>
            </w:r>
            <w:r w:rsidR="00300E56" w:rsidRPr="00464F7D">
              <w:rPr>
                <w:rFonts w:ascii="Tahoma" w:hAnsi="Tahoma" w:cs="Tahoma"/>
                <w:iCs/>
                <w:color w:val="333333"/>
                <w:sz w:val="14"/>
                <w:szCs w:val="14"/>
                <w:lang w:eastAsia="it-IT"/>
              </w:rPr>
              <w:t>;</w:t>
            </w:r>
            <w:r w:rsidR="00300E56" w:rsidRPr="00464F7D">
              <w:rPr>
                <w:rFonts w:ascii="Tahoma" w:hAnsi="Tahoma" w:cs="Tahoma"/>
                <w:b/>
                <w:iCs/>
                <w:color w:val="333333"/>
                <w:sz w:val="14"/>
                <w:szCs w:val="14"/>
                <w:lang w:eastAsia="it-IT"/>
              </w:rPr>
              <w:t>ISSN</w:t>
            </w:r>
            <w:r w:rsidR="00300E56" w:rsidRPr="00464F7D">
              <w:rPr>
                <w:rFonts w:ascii="Tahoma" w:hAnsi="Tahoma" w:cs="Tahoma"/>
                <w:iCs/>
                <w:color w:val="333333"/>
                <w:sz w:val="14"/>
                <w:szCs w:val="14"/>
                <w:lang w:eastAsia="it-IT"/>
              </w:rPr>
              <w:t xml:space="preserve"> 2283-9216</w:t>
            </w:r>
          </w:p>
        </w:tc>
      </w:tr>
    </w:tbl>
    <w:p w:rsidR="000A03B2" w:rsidRPr="00464F7D" w:rsidRDefault="000A03B2" w:rsidP="000A03B2">
      <w:pPr>
        <w:pStyle w:val="CETAuthors"/>
        <w:sectPr w:rsidR="000A03B2" w:rsidRPr="00464F7D">
          <w:type w:val="continuous"/>
          <w:pgSz w:w="11906" w:h="16838" w:code="9"/>
          <w:pgMar w:top="1701" w:right="1418" w:bottom="1701" w:left="1701" w:header="1701" w:footer="0" w:gutter="0"/>
          <w:cols w:space="708"/>
          <w:titlePg/>
          <w:docGrid w:linePitch="360"/>
        </w:sectPr>
      </w:pPr>
    </w:p>
    <w:p w:rsidR="0011374A" w:rsidRDefault="0011374A" w:rsidP="00931170">
      <w:pPr>
        <w:pStyle w:val="CETTitle"/>
      </w:pPr>
      <w:r w:rsidRPr="0011374A">
        <w:t xml:space="preserve">A </w:t>
      </w:r>
      <w:r w:rsidR="0076134E">
        <w:t>S</w:t>
      </w:r>
      <w:r w:rsidRPr="0011374A">
        <w:t xml:space="preserve">tudy on the </w:t>
      </w:r>
      <w:r w:rsidR="0076134E">
        <w:t>R</w:t>
      </w:r>
      <w:r w:rsidRPr="0011374A">
        <w:t xml:space="preserve">elationship </w:t>
      </w:r>
      <w:r w:rsidR="0076134E">
        <w:t>b</w:t>
      </w:r>
      <w:r w:rsidRPr="0011374A">
        <w:t xml:space="preserve">etween the </w:t>
      </w:r>
      <w:r w:rsidR="0076134E">
        <w:t>B</w:t>
      </w:r>
      <w:r w:rsidRPr="0011374A">
        <w:t xml:space="preserve">oundary </w:t>
      </w:r>
      <w:r w:rsidR="0076134E">
        <w:t>F</w:t>
      </w:r>
      <w:r w:rsidRPr="0011374A">
        <w:t xml:space="preserve">lux </w:t>
      </w:r>
      <w:r w:rsidR="0076134E">
        <w:t>P</w:t>
      </w:r>
      <w:r w:rsidRPr="0011374A">
        <w:t xml:space="preserve">arameters and </w:t>
      </w:r>
      <w:r w:rsidR="0076134E">
        <w:t>M</w:t>
      </w:r>
      <w:r w:rsidRPr="0011374A">
        <w:t xml:space="preserve">embrane </w:t>
      </w:r>
      <w:r w:rsidR="0076134E">
        <w:t>P</w:t>
      </w:r>
      <w:r w:rsidRPr="0011374A">
        <w:t xml:space="preserve">rocess </w:t>
      </w:r>
      <w:r w:rsidR="0076134E">
        <w:t>R</w:t>
      </w:r>
      <w:r w:rsidRPr="0011374A">
        <w:t>equirements</w:t>
      </w:r>
    </w:p>
    <w:p w:rsidR="00013674" w:rsidRPr="00B64E86" w:rsidRDefault="00013674" w:rsidP="00931170">
      <w:pPr>
        <w:pStyle w:val="CETAuthors"/>
        <w:rPr>
          <w:lang w:val="it-IT"/>
        </w:rPr>
      </w:pPr>
      <w:r w:rsidRPr="00B64E86">
        <w:rPr>
          <w:lang w:val="it-IT"/>
        </w:rPr>
        <w:t>Marco Stoller</w:t>
      </w:r>
      <w:r w:rsidR="00AB46F4" w:rsidRPr="00B64E86">
        <w:rPr>
          <w:vertAlign w:val="superscript"/>
          <w:lang w:val="it-IT"/>
        </w:rPr>
        <w:t>a*</w:t>
      </w:r>
      <w:r w:rsidRPr="00B64E86">
        <w:rPr>
          <w:lang w:val="it-IT"/>
        </w:rPr>
        <w:t xml:space="preserve">, </w:t>
      </w:r>
      <w:r w:rsidR="00B64E86" w:rsidRPr="00B64E86">
        <w:rPr>
          <w:lang w:val="it-IT"/>
        </w:rPr>
        <w:t>Javier Miguel O</w:t>
      </w:r>
      <w:r w:rsidR="00B64E86">
        <w:rPr>
          <w:lang w:val="it-IT"/>
        </w:rPr>
        <w:t>chando Pulido</w:t>
      </w:r>
      <w:r w:rsidR="00B64E86">
        <w:rPr>
          <w:vertAlign w:val="superscript"/>
          <w:lang w:val="it-IT"/>
        </w:rPr>
        <w:t>b</w:t>
      </w:r>
    </w:p>
    <w:p w:rsidR="00E978D0" w:rsidRPr="00AB46F4" w:rsidRDefault="00E978D0" w:rsidP="00931170">
      <w:pPr>
        <w:pStyle w:val="CETAddress"/>
      </w:pPr>
      <w:r w:rsidRPr="00B57B36">
        <w:rPr>
          <w:vertAlign w:val="superscript"/>
        </w:rPr>
        <w:t>a</w:t>
      </w:r>
      <w:r w:rsidR="00AB46F4" w:rsidRPr="00AB46F4">
        <w:rPr>
          <w:rFonts w:eastAsiaTheme="minorHAnsi" w:cs="Arial"/>
          <w:szCs w:val="16"/>
          <w:lang w:val="en-US"/>
        </w:rPr>
        <w:t xml:space="preserve"> </w:t>
      </w:r>
      <w:r w:rsidR="00AB46F4" w:rsidRPr="00AB46F4">
        <w:rPr>
          <w:lang w:val="en-US"/>
        </w:rPr>
        <w:t>Sapienza University of Rome, Dept. Of Chemical Materials Environmental Engineering Via Eudossiana 18, 00184 Rome,</w:t>
      </w:r>
      <w:r w:rsidR="00506523">
        <w:rPr>
          <w:lang w:val="en-US"/>
        </w:rPr>
        <w:t xml:space="preserve"> </w:t>
      </w:r>
      <w:r w:rsidR="00AB46F4" w:rsidRPr="00AB46F4">
        <w:rPr>
          <w:lang w:val="en-US"/>
        </w:rPr>
        <w:t>Italy</w:t>
      </w:r>
      <w:r w:rsidRPr="00AB46F4">
        <w:t xml:space="preserve"> </w:t>
      </w:r>
    </w:p>
    <w:p w:rsidR="00AB46F4" w:rsidRPr="00093515" w:rsidRDefault="00E978D0" w:rsidP="00931170">
      <w:pPr>
        <w:pStyle w:val="CETAddress"/>
        <w:rPr>
          <w:lang w:val="en-US"/>
        </w:rPr>
      </w:pPr>
      <w:r w:rsidRPr="00B57B36">
        <w:rPr>
          <w:vertAlign w:val="superscript"/>
        </w:rPr>
        <w:t>b</w:t>
      </w:r>
      <w:r w:rsidR="00AB46F4" w:rsidRPr="00AB46F4">
        <w:rPr>
          <w:rFonts w:eastAsiaTheme="minorHAnsi" w:cs="Arial"/>
          <w:szCs w:val="16"/>
          <w:lang w:val="en-US"/>
        </w:rPr>
        <w:t xml:space="preserve"> </w:t>
      </w:r>
      <w:r w:rsidR="00B64E86">
        <w:rPr>
          <w:rFonts w:eastAsia="Calibri" w:cs="Arial"/>
        </w:rPr>
        <w:t>University of Granada</w:t>
      </w:r>
      <w:r w:rsidR="00B64E86" w:rsidRPr="008C6107">
        <w:rPr>
          <w:rFonts w:eastAsia="Calibri" w:cs="Arial"/>
        </w:rPr>
        <w:t xml:space="preserve">, Dept. of </w:t>
      </w:r>
      <w:r w:rsidR="00B64E86">
        <w:rPr>
          <w:rFonts w:eastAsia="Calibri" w:cs="Arial"/>
        </w:rPr>
        <w:t>Chemical</w:t>
      </w:r>
      <w:r w:rsidR="00B64E86" w:rsidRPr="008C6107">
        <w:rPr>
          <w:rFonts w:eastAsia="Calibri" w:cs="Arial"/>
        </w:rPr>
        <w:t xml:space="preserve"> Engineering,</w:t>
      </w:r>
      <w:r w:rsidR="00B64E86">
        <w:rPr>
          <w:rFonts w:eastAsia="Calibri" w:cs="Arial"/>
        </w:rPr>
        <w:t xml:space="preserve"> </w:t>
      </w:r>
      <w:r w:rsidR="00B64E86">
        <w:rPr>
          <w:rStyle w:val="st"/>
        </w:rPr>
        <w:t xml:space="preserve">Avenida de la Fuente Nueva S/N, 18071 </w:t>
      </w:r>
      <w:r w:rsidR="00B64E86" w:rsidRPr="00AC6733">
        <w:rPr>
          <w:rStyle w:val="Enfasicorsivo"/>
          <w:i w:val="0"/>
        </w:rPr>
        <w:t>Granada</w:t>
      </w:r>
      <w:r w:rsidR="00B64E86">
        <w:rPr>
          <w:rStyle w:val="Enfasicorsivo"/>
          <w:i w:val="0"/>
        </w:rPr>
        <w:t>, Spain</w:t>
      </w:r>
    </w:p>
    <w:p w:rsidR="00E978D0" w:rsidRPr="00093515" w:rsidRDefault="00AE0FEB" w:rsidP="00506523">
      <w:pPr>
        <w:pStyle w:val="CETemail"/>
        <w:jc w:val="both"/>
        <w:rPr>
          <w:lang w:val="en-US"/>
        </w:rPr>
      </w:pPr>
      <w:r w:rsidRPr="00093515">
        <w:rPr>
          <w:lang w:val="en-US"/>
        </w:rPr>
        <w:t>marco.stoller@uniroma1.it</w:t>
      </w:r>
    </w:p>
    <w:p w:rsidR="00B64E86" w:rsidRPr="00B64E86" w:rsidRDefault="00B64E86" w:rsidP="00CC7488">
      <w:pPr>
        <w:pStyle w:val="CETBodytext"/>
        <w:rPr>
          <w:b/>
        </w:rPr>
      </w:pPr>
      <w:r w:rsidRPr="00B64E86">
        <w:t>The boundary flux concept permits to describe the fouling behaviour of membrane systems as a function of the operating time. The method relies on a set of equations that is possible to integrate in time, thus permitting to evaluate the separation process outcome and performances. This study focuses on the relationship between the membrane area requirements and specific parameters of the boundary flux concept on different membrane systems characterized by different waste feed streams and operating conditions. The target of the analysis was to identify which parameters of the boundary flux equations are the most influent one on the membrane area requirements. The knowledge of the relevant parameters can strongly assist membrane process designers to minimize the capex of the developed plants. The study was performed on many different systems, available in literature, and at different operating conditions. In order to avoid the triggering of irreversible fouling, the operation must be performed in sub-boundary operating conditions, and as a consequence, the condition of the permeate flux J</w:t>
      </w:r>
      <w:r w:rsidRPr="00F65E20">
        <w:rPr>
          <w:vertAlign w:val="subscript"/>
        </w:rPr>
        <w:t>p</w:t>
      </w:r>
      <w:r w:rsidRPr="00B64E86">
        <w:t xml:space="preserve"> equal to the boundary flux J</w:t>
      </w:r>
      <w:r w:rsidRPr="00F65E20">
        <w:rPr>
          <w:vertAlign w:val="subscript"/>
        </w:rPr>
        <w:t>b</w:t>
      </w:r>
      <w:r w:rsidRPr="00B64E86">
        <w:t xml:space="preserve"> must be met at the end of operation.</w:t>
      </w:r>
      <w:r>
        <w:t xml:space="preserve"> </w:t>
      </w:r>
      <w:r w:rsidRPr="00B64E86">
        <w:t>Summarizing briefly the findings, it was possible to observe that the membrane area requirements are minimized for higher pure water membrane permeability values (w) for recoveries up to 75% Y</w:t>
      </w:r>
      <w:r w:rsidRPr="005339E7">
        <w:rPr>
          <w:vertAlign w:val="subscript"/>
        </w:rPr>
        <w:t>max</w:t>
      </w:r>
      <w:r w:rsidRPr="00B64E86">
        <w:t>, but then, in the range up to 90% Y</w:t>
      </w:r>
      <w:r w:rsidRPr="005339E7">
        <w:rPr>
          <w:vertAlign w:val="subscript"/>
        </w:rPr>
        <w:t>max</w:t>
      </w:r>
      <w:r w:rsidRPr="00B64E86">
        <w:t>, to achieve the same target, it appears to be more important to have higher J</w:t>
      </w:r>
      <w:r w:rsidRPr="00F65E20">
        <w:rPr>
          <w:vertAlign w:val="subscript"/>
        </w:rPr>
        <w:t>b</w:t>
      </w:r>
      <w:r w:rsidRPr="00B64E86">
        <w:t xml:space="preserve"> values. In other words, in those systems characterized by VRF </w:t>
      </w:r>
      <w:r w:rsidR="0076134E">
        <w:t xml:space="preserve">(volume recovery factor) </w:t>
      </w:r>
      <w:r w:rsidRPr="00B64E86">
        <w:t>less than 4, high membrane permeabilities appears advantageous for the choice, even in presence of some extent of fouling. This appears not to be the case for those systems targeting higher VRF values: in this case, high J</w:t>
      </w:r>
      <w:r w:rsidRPr="00F65E20">
        <w:rPr>
          <w:vertAlign w:val="subscript"/>
        </w:rPr>
        <w:t>b</w:t>
      </w:r>
      <w:r w:rsidRPr="00B64E86">
        <w:t xml:space="preserve"> values must be achieved. Since the value of J</w:t>
      </w:r>
      <w:r w:rsidRPr="00F65E20">
        <w:rPr>
          <w:vertAlign w:val="subscript"/>
        </w:rPr>
        <w:t>b</w:t>
      </w:r>
      <w:r w:rsidRPr="00B64E86">
        <w:t xml:space="preserve"> depends on many parameters, such as T, Re and other physical-chemical characteristics, the minimization of the membrane area requirements requires the proper design of the membrane process, pre-treatment steps and operating conditions choice.</w:t>
      </w:r>
    </w:p>
    <w:p w:rsidR="00FE0C75" w:rsidRDefault="00600535" w:rsidP="00E2658C">
      <w:pPr>
        <w:pStyle w:val="CETHeading1"/>
      </w:pPr>
      <w:r w:rsidRPr="00B57B36">
        <w:t>Introduction</w:t>
      </w:r>
    </w:p>
    <w:p w:rsidR="00CC7488" w:rsidRDefault="00484F58" w:rsidP="00CC7488">
      <w:pPr>
        <w:pStyle w:val="CETBodytext"/>
      </w:pPr>
      <w:r w:rsidRPr="00CC7488">
        <w:t>Membrane fouling is one of the most important drawback of membrane technologies</w:t>
      </w:r>
      <w:r w:rsidR="00CC78DC" w:rsidRPr="00CC7488">
        <w:t xml:space="preserve"> (Stoller</w:t>
      </w:r>
      <w:r w:rsidR="001A5957" w:rsidRPr="00CC7488">
        <w:t xml:space="preserve"> et al., 2013)</w:t>
      </w:r>
      <w:r w:rsidRPr="00CC7488">
        <w:t>. Although research in developing new membrane materials as well as in fouling inhibition methods development was performed in the last decades, membrane fouling still lead</w:t>
      </w:r>
      <w:r w:rsidR="00A666A8" w:rsidRPr="00CC7488">
        <w:t>s</w:t>
      </w:r>
      <w:r w:rsidRPr="00CC7488">
        <w:t xml:space="preserve"> to process failures</w:t>
      </w:r>
      <w:r w:rsidR="0044168D" w:rsidRPr="00CC7488">
        <w:t xml:space="preserve"> (Bavasso et al., 2016)</w:t>
      </w:r>
      <w:r w:rsidR="00CC7488">
        <w:t xml:space="preserve">. </w:t>
      </w:r>
      <w:r w:rsidR="00A666A8" w:rsidRPr="00CC7488">
        <w:t>As a consequence</w:t>
      </w:r>
      <w:r w:rsidR="00926959" w:rsidRPr="00CC7488">
        <w:t>,</w:t>
      </w:r>
      <w:r w:rsidR="00A666A8" w:rsidRPr="00CC7488">
        <w:t xml:space="preserve"> an improved </w:t>
      </w:r>
      <w:r w:rsidR="00337E44" w:rsidRPr="00CC7488">
        <w:t xml:space="preserve">attention </w:t>
      </w:r>
      <w:r w:rsidR="00A666A8" w:rsidRPr="00CC7488">
        <w:t>to</w:t>
      </w:r>
      <w:r w:rsidR="00337E44" w:rsidRPr="00CC7488">
        <w:t xml:space="preserve"> fouling</w:t>
      </w:r>
      <w:r w:rsidR="00A666A8" w:rsidRPr="00CC7488">
        <w:t xml:space="preserve"> issues</w:t>
      </w:r>
      <w:r w:rsidR="00337E44" w:rsidRPr="00CC7488">
        <w:t xml:space="preserve"> </w:t>
      </w:r>
      <w:r w:rsidR="00A666A8" w:rsidRPr="00CC7488">
        <w:t>should be given in the next future</w:t>
      </w:r>
      <w:r w:rsidR="00337E44" w:rsidRPr="00CC7488">
        <w:t>.</w:t>
      </w:r>
      <w:r w:rsidR="00567962" w:rsidRPr="00CC7488">
        <w:t xml:space="preserve"> </w:t>
      </w:r>
      <w:r w:rsidR="00A666A8" w:rsidRPr="00CC7488">
        <w:t>Indeed</w:t>
      </w:r>
      <w:r w:rsidR="00567962" w:rsidRPr="00CC7488">
        <w:t xml:space="preserve">, </w:t>
      </w:r>
      <w:r w:rsidR="00A666A8" w:rsidRPr="00CC7488">
        <w:t xml:space="preserve">more efficient design, </w:t>
      </w:r>
      <w:r w:rsidR="00567962" w:rsidRPr="00CC7488">
        <w:t>implementation</w:t>
      </w:r>
      <w:r w:rsidR="00A666A8" w:rsidRPr="00CC7488">
        <w:t xml:space="preserve"> and operation techniques should be developed </w:t>
      </w:r>
      <w:r w:rsidR="00D51917" w:rsidRPr="00CC7488">
        <w:t>to target an improved reduction of</w:t>
      </w:r>
      <w:r w:rsidR="00567962" w:rsidRPr="00CC7488">
        <w:t xml:space="preserve"> this phenomenon</w:t>
      </w:r>
      <w:r w:rsidR="0044168D" w:rsidRPr="00CC7488">
        <w:t xml:space="preserve"> (Di Palma et al., 2018)</w:t>
      </w:r>
      <w:r w:rsidR="00567962" w:rsidRPr="00CC7488">
        <w:t>,</w:t>
      </w:r>
      <w:r w:rsidR="00D51917" w:rsidRPr="00CC7488">
        <w:t xml:space="preserve"> in order to increase the life time of membranes</w:t>
      </w:r>
      <w:r w:rsidR="00A06782" w:rsidRPr="00CC7488">
        <w:t xml:space="preserve"> and as a consequence to reach technical and econo</w:t>
      </w:r>
      <w:r w:rsidR="00CC7488">
        <w:t>mic</w:t>
      </w:r>
      <w:r w:rsidR="00A06782" w:rsidRPr="00CC7488">
        <w:t xml:space="preserve"> feasibility of the </w:t>
      </w:r>
      <w:r w:rsidR="00567962" w:rsidRPr="00CC7488">
        <w:t>treatment</w:t>
      </w:r>
      <w:r w:rsidR="001A5957" w:rsidRPr="00CC7488">
        <w:t xml:space="preserve"> (Ochando-Pulido and Stoller, 2015)</w:t>
      </w:r>
      <w:r w:rsidR="00567962" w:rsidRPr="00CC7488">
        <w:t xml:space="preserve">. </w:t>
      </w:r>
      <w:r w:rsidR="00470F4F" w:rsidRPr="00CC7488">
        <w:t xml:space="preserve">The fouling </w:t>
      </w:r>
      <w:r w:rsidR="00A06782" w:rsidRPr="00CC7488">
        <w:t xml:space="preserve">phenomena triggers over the surface of the membrane the formation of a </w:t>
      </w:r>
      <w:r w:rsidR="00470F4F" w:rsidRPr="00CC7488">
        <w:t>gel</w:t>
      </w:r>
      <w:r w:rsidR="00A06782" w:rsidRPr="00CC7488">
        <w:t xml:space="preserve"> like </w:t>
      </w:r>
      <w:r w:rsidR="00470F4F" w:rsidRPr="00CC7488">
        <w:t xml:space="preserve">cake </w:t>
      </w:r>
      <w:r w:rsidR="00A06782" w:rsidRPr="00CC7488">
        <w:t xml:space="preserve">layer, </w:t>
      </w:r>
      <w:r w:rsidR="00470F4F" w:rsidRPr="00CC7488">
        <w:t xml:space="preserve">that grows </w:t>
      </w:r>
      <w:r w:rsidR="00A06782" w:rsidRPr="00CC7488">
        <w:t xml:space="preserve">as a function of time driven by </w:t>
      </w:r>
      <w:r w:rsidR="00926959" w:rsidRPr="00CC7488">
        <w:t>polarization</w:t>
      </w:r>
      <w:r w:rsidR="00652191" w:rsidRPr="00CC7488">
        <w:t xml:space="preserve"> </w:t>
      </w:r>
      <w:r w:rsidR="00EA03FA" w:rsidRPr="00CC7488">
        <w:t xml:space="preserve">and </w:t>
      </w:r>
      <w:r w:rsidR="00652191" w:rsidRPr="00CC7488">
        <w:t>inhibits the passage of the permeate trough the membrane</w:t>
      </w:r>
      <w:r w:rsidR="001A5957" w:rsidRPr="00CC7488">
        <w:t xml:space="preserve"> (</w:t>
      </w:r>
      <w:r w:rsidR="00C912BF" w:rsidRPr="00CC7488">
        <w:t>Mi and Elimelech</w:t>
      </w:r>
      <w:r w:rsidR="001A5957" w:rsidRPr="00CC7488">
        <w:t>, 2010</w:t>
      </w:r>
      <w:r w:rsidR="00C912BF" w:rsidRPr="00CC7488">
        <w:t>)</w:t>
      </w:r>
      <w:r w:rsidR="00652191" w:rsidRPr="00CC7488">
        <w:t xml:space="preserve">. As a function of the nature and molecular organization of the cake layer, fouling can be classified by </w:t>
      </w:r>
      <w:r w:rsidR="00EA03FA" w:rsidRPr="00CC7488">
        <w:t xml:space="preserve">three </w:t>
      </w:r>
      <w:r w:rsidR="00652191" w:rsidRPr="00CC7488">
        <w:t xml:space="preserve">different </w:t>
      </w:r>
      <w:r w:rsidR="00EA03FA" w:rsidRPr="00CC7488">
        <w:t>types: reversible, semi-reversible and irreversible</w:t>
      </w:r>
      <w:r w:rsidR="00652191" w:rsidRPr="00CC7488">
        <w:t>, respectively</w:t>
      </w:r>
      <w:r w:rsidR="00C912BF" w:rsidRPr="00CC7488">
        <w:t xml:space="preserve"> (Kimura et al., 2004)</w:t>
      </w:r>
      <w:r w:rsidR="00470F4F" w:rsidRPr="00CC7488">
        <w:t xml:space="preserve">. </w:t>
      </w:r>
    </w:p>
    <w:p w:rsidR="007441DA" w:rsidRDefault="00652191" w:rsidP="00CC7488">
      <w:pPr>
        <w:pStyle w:val="CETBodytext"/>
        <w:rPr>
          <w:lang w:val="en-GB"/>
        </w:rPr>
      </w:pPr>
      <w:r w:rsidRPr="00CC7488">
        <w:t xml:space="preserve">The outcome of fouling and the relative growth rate </w:t>
      </w:r>
      <w:r w:rsidR="00470F4F" w:rsidRPr="00CC7488">
        <w:t>of th</w:t>
      </w:r>
      <w:r w:rsidRPr="00CC7488">
        <w:t>e</w:t>
      </w:r>
      <w:r w:rsidR="00470F4F" w:rsidRPr="00CC7488">
        <w:t xml:space="preserve"> cake </w:t>
      </w:r>
      <w:r w:rsidRPr="00CC7488">
        <w:t xml:space="preserve">layer </w:t>
      </w:r>
      <w:r w:rsidR="00470F4F" w:rsidRPr="00CC7488">
        <w:t>depends on different parameters, such as: selectivity</w:t>
      </w:r>
      <w:r w:rsidRPr="00CC7488">
        <w:t xml:space="preserve">, </w:t>
      </w:r>
      <w:r w:rsidR="00470F4F" w:rsidRPr="00CC7488">
        <w:t>dimension</w:t>
      </w:r>
      <w:r w:rsidRPr="00CC7488">
        <w:t xml:space="preserve"> distribution of the </w:t>
      </w:r>
      <w:r w:rsidR="00470F4F" w:rsidRPr="00CC7488">
        <w:t>membrane</w:t>
      </w:r>
      <w:r w:rsidRPr="00CC7488">
        <w:t xml:space="preserve"> pores</w:t>
      </w:r>
      <w:r w:rsidR="00470F4F" w:rsidRPr="00CC7488">
        <w:t>, feed</w:t>
      </w:r>
      <w:r w:rsidR="00470F4F">
        <w:rPr>
          <w:lang w:val="en-GB"/>
        </w:rPr>
        <w:t xml:space="preserve"> stream characteristics</w:t>
      </w:r>
      <w:r>
        <w:rPr>
          <w:lang w:val="en-GB"/>
        </w:rPr>
        <w:t xml:space="preserve"> and suspended </w:t>
      </w:r>
      <w:r w:rsidRPr="00BD1915">
        <w:rPr>
          <w:lang w:val="en-GB"/>
        </w:rPr>
        <w:t>solids</w:t>
      </w:r>
      <w:r w:rsidR="00567962" w:rsidRPr="00BD1915">
        <w:rPr>
          <w:lang w:val="en-GB"/>
        </w:rPr>
        <w:t xml:space="preserve"> </w:t>
      </w:r>
      <w:r w:rsidR="00567962" w:rsidRPr="00BD1915">
        <w:rPr>
          <w:lang w:val="en-GB"/>
        </w:rPr>
        <w:lastRenderedPageBreak/>
        <w:t>particles size</w:t>
      </w:r>
      <w:r w:rsidRPr="00BD1915">
        <w:rPr>
          <w:lang w:val="en-GB"/>
        </w:rPr>
        <w:t xml:space="preserve"> distribution</w:t>
      </w:r>
      <w:r w:rsidR="00567962" w:rsidRPr="00BD1915">
        <w:rPr>
          <w:lang w:val="en-GB"/>
        </w:rPr>
        <w:t>, chemical</w:t>
      </w:r>
      <w:r w:rsidR="00C639D5" w:rsidRPr="00BD1915">
        <w:rPr>
          <w:lang w:val="en-GB"/>
        </w:rPr>
        <w:t xml:space="preserve"> and</w:t>
      </w:r>
      <w:r w:rsidR="00567962" w:rsidRPr="00BD1915">
        <w:rPr>
          <w:lang w:val="en-GB"/>
        </w:rPr>
        <w:t xml:space="preserve"> physic</w:t>
      </w:r>
      <w:r w:rsidRPr="00BD1915">
        <w:rPr>
          <w:lang w:val="en-GB"/>
        </w:rPr>
        <w:t>al</w:t>
      </w:r>
      <w:r w:rsidR="00567962" w:rsidRPr="00BD1915">
        <w:rPr>
          <w:lang w:val="en-GB"/>
        </w:rPr>
        <w:t xml:space="preserve"> </w:t>
      </w:r>
      <w:r w:rsidRPr="00BD1915">
        <w:rPr>
          <w:lang w:val="en-GB"/>
        </w:rPr>
        <w:t>properties</w:t>
      </w:r>
      <w:r w:rsidR="00567962" w:rsidRPr="00BD1915">
        <w:rPr>
          <w:lang w:val="en-GB"/>
        </w:rPr>
        <w:t xml:space="preserve"> of</w:t>
      </w:r>
      <w:r w:rsidRPr="00BD1915">
        <w:rPr>
          <w:lang w:val="en-GB"/>
        </w:rPr>
        <w:t xml:space="preserve"> the</w:t>
      </w:r>
      <w:r w:rsidR="00567962" w:rsidRPr="00BD1915">
        <w:rPr>
          <w:lang w:val="en-GB"/>
        </w:rPr>
        <w:t xml:space="preserve"> solute and </w:t>
      </w:r>
      <w:r w:rsidRPr="00BD1915">
        <w:rPr>
          <w:lang w:val="en-GB"/>
        </w:rPr>
        <w:t xml:space="preserve">finally the applied operating </w:t>
      </w:r>
      <w:r w:rsidR="00567962" w:rsidRPr="00BD1915">
        <w:rPr>
          <w:lang w:val="en-GB"/>
        </w:rPr>
        <w:t>pressure.</w:t>
      </w:r>
      <w:r w:rsidR="00C639D5" w:rsidRPr="00BD1915">
        <w:rPr>
          <w:lang w:val="en-GB"/>
        </w:rPr>
        <w:t xml:space="preserve"> </w:t>
      </w:r>
      <w:r w:rsidR="007441DA">
        <w:rPr>
          <w:lang w:val="en-GB"/>
        </w:rPr>
        <w:t>In any case f</w:t>
      </w:r>
      <w:r w:rsidR="00C639D5" w:rsidRPr="00BD1915">
        <w:rPr>
          <w:lang w:val="en-GB"/>
        </w:rPr>
        <w:t xml:space="preserve">ouling cannot </w:t>
      </w:r>
      <w:r w:rsidR="00BD1915">
        <w:rPr>
          <w:lang w:val="en-GB"/>
        </w:rPr>
        <w:t xml:space="preserve">be </w:t>
      </w:r>
      <w:r w:rsidR="00C639D5" w:rsidRPr="00BD1915">
        <w:rPr>
          <w:lang w:val="en-GB"/>
        </w:rPr>
        <w:t>avoid</w:t>
      </w:r>
      <w:r w:rsidR="00BD1915">
        <w:rPr>
          <w:lang w:val="en-GB"/>
        </w:rPr>
        <w:t>ed</w:t>
      </w:r>
      <w:r w:rsidR="00C639D5" w:rsidRPr="00BD1915">
        <w:rPr>
          <w:lang w:val="en-GB"/>
        </w:rPr>
        <w:t xml:space="preserve"> completely</w:t>
      </w:r>
      <w:r w:rsidR="007441DA">
        <w:rPr>
          <w:lang w:val="en-GB"/>
        </w:rPr>
        <w:t xml:space="preserve"> </w:t>
      </w:r>
      <w:r w:rsidR="00C639D5" w:rsidRPr="00BD1915">
        <w:rPr>
          <w:lang w:val="en-GB"/>
        </w:rPr>
        <w:t xml:space="preserve">but can be </w:t>
      </w:r>
      <w:r w:rsidR="007441DA">
        <w:rPr>
          <w:lang w:val="en-GB"/>
        </w:rPr>
        <w:t>inhibited</w:t>
      </w:r>
      <w:r w:rsidR="00C639D5" w:rsidRPr="00BD1915">
        <w:rPr>
          <w:lang w:val="en-GB"/>
        </w:rPr>
        <w:t xml:space="preserve"> </w:t>
      </w:r>
      <w:r w:rsidR="007441DA">
        <w:rPr>
          <w:lang w:val="en-GB"/>
        </w:rPr>
        <w:t>by</w:t>
      </w:r>
      <w:r w:rsidR="00C639D5" w:rsidRPr="00BD1915">
        <w:rPr>
          <w:lang w:val="en-GB"/>
        </w:rPr>
        <w:t xml:space="preserve"> </w:t>
      </w:r>
      <w:r w:rsidR="007441DA">
        <w:rPr>
          <w:lang w:val="en-GB"/>
        </w:rPr>
        <w:t>taking some</w:t>
      </w:r>
      <w:r w:rsidR="00C639D5" w:rsidRPr="00BD1915">
        <w:rPr>
          <w:lang w:val="en-GB"/>
        </w:rPr>
        <w:t xml:space="preserve"> precautions, </w:t>
      </w:r>
      <w:r w:rsidR="007441DA">
        <w:rPr>
          <w:lang w:val="en-GB"/>
        </w:rPr>
        <w:t>such as</w:t>
      </w:r>
      <w:r w:rsidR="00EA03FA" w:rsidRPr="00BD1915">
        <w:rPr>
          <w:lang w:val="en-GB"/>
        </w:rPr>
        <w:t xml:space="preserve"> pre-treatment</w:t>
      </w:r>
      <w:r w:rsidR="007441DA">
        <w:rPr>
          <w:lang w:val="en-GB"/>
        </w:rPr>
        <w:t xml:space="preserve"> processes</w:t>
      </w:r>
      <w:r w:rsidR="00EA03FA" w:rsidRPr="00BD1915">
        <w:rPr>
          <w:lang w:val="en-GB"/>
        </w:rPr>
        <w:t xml:space="preserve"> o</w:t>
      </w:r>
      <w:r w:rsidR="007441DA">
        <w:rPr>
          <w:lang w:val="en-GB"/>
        </w:rPr>
        <w:t>n</w:t>
      </w:r>
      <w:r w:rsidR="00EA03FA" w:rsidRPr="00BD1915">
        <w:rPr>
          <w:lang w:val="en-GB"/>
        </w:rPr>
        <w:t xml:space="preserve"> </w:t>
      </w:r>
      <w:r w:rsidR="007441DA">
        <w:rPr>
          <w:lang w:val="en-GB"/>
        </w:rPr>
        <w:t xml:space="preserve">the </w:t>
      </w:r>
      <w:r w:rsidR="00EA03FA" w:rsidRPr="00BD1915">
        <w:rPr>
          <w:lang w:val="en-GB"/>
        </w:rPr>
        <w:t xml:space="preserve">feed </w:t>
      </w:r>
      <w:r w:rsidR="007441DA">
        <w:rPr>
          <w:lang w:val="en-GB"/>
        </w:rPr>
        <w:t>stream</w:t>
      </w:r>
      <w:r w:rsidR="00995921">
        <w:rPr>
          <w:lang w:val="en-GB"/>
        </w:rPr>
        <w:t xml:space="preserve">, i.e. </w:t>
      </w:r>
      <w:r w:rsidR="00926959" w:rsidRPr="00BD1915">
        <w:rPr>
          <w:lang w:val="en-GB"/>
        </w:rPr>
        <w:t>photocatalysis</w:t>
      </w:r>
      <w:r w:rsidR="00995921">
        <w:rPr>
          <w:lang w:val="en-GB"/>
        </w:rPr>
        <w:t xml:space="preserve"> (Stoller et al., 2017a)</w:t>
      </w:r>
      <w:r w:rsidR="00926959" w:rsidRPr="00BD1915">
        <w:rPr>
          <w:lang w:val="en-GB"/>
        </w:rPr>
        <w:t>, prefiltration</w:t>
      </w:r>
      <w:r w:rsidR="00995921">
        <w:rPr>
          <w:lang w:val="en-GB"/>
        </w:rPr>
        <w:t xml:space="preserve"> (Stoller et al., 2016)</w:t>
      </w:r>
      <w:r w:rsidR="00926959" w:rsidRPr="00BD1915">
        <w:rPr>
          <w:lang w:val="en-GB"/>
        </w:rPr>
        <w:t xml:space="preserve">, </w:t>
      </w:r>
      <w:r w:rsidR="00FC1AAB" w:rsidRPr="00BD1915">
        <w:rPr>
          <w:lang w:val="en-GB"/>
        </w:rPr>
        <w:t>adsorption</w:t>
      </w:r>
      <w:r w:rsidR="00995921">
        <w:rPr>
          <w:lang w:val="en-GB"/>
        </w:rPr>
        <w:t xml:space="preserve"> (Vilardi et al., 2018a</w:t>
      </w:r>
      <w:r w:rsidR="00926959" w:rsidRPr="00BD1915">
        <w:rPr>
          <w:lang w:val="en-GB"/>
        </w:rPr>
        <w:t>)</w:t>
      </w:r>
      <w:r w:rsidR="00EA03FA" w:rsidRPr="00BD1915">
        <w:rPr>
          <w:lang w:val="en-GB"/>
        </w:rPr>
        <w:t>,</w:t>
      </w:r>
      <w:r w:rsidR="00995921">
        <w:rPr>
          <w:lang w:val="en-GB"/>
        </w:rPr>
        <w:t xml:space="preserve"> chemical precipitation (Vilardi et al., 2018b)</w:t>
      </w:r>
      <w:r w:rsidR="0044168D">
        <w:rPr>
          <w:lang w:val="en-GB"/>
        </w:rPr>
        <w:t xml:space="preserve">, </w:t>
      </w:r>
      <w:r w:rsidR="00374750">
        <w:rPr>
          <w:lang w:val="en-GB"/>
        </w:rPr>
        <w:t xml:space="preserve">advanced oxidation processes (Vilardi et al., 2018c), </w:t>
      </w:r>
      <w:r w:rsidR="0044168D">
        <w:rPr>
          <w:lang w:val="en-GB"/>
        </w:rPr>
        <w:t>biological processes (Bavasso et al., 2017)</w:t>
      </w:r>
      <w:r w:rsidR="00EA03FA" w:rsidRPr="00BD1915">
        <w:rPr>
          <w:lang w:val="en-GB"/>
        </w:rPr>
        <w:t xml:space="preserve"> </w:t>
      </w:r>
      <w:r w:rsidR="007441DA" w:rsidRPr="00BD1915">
        <w:rPr>
          <w:lang w:val="en-GB"/>
        </w:rPr>
        <w:t xml:space="preserve">frequently </w:t>
      </w:r>
      <w:r w:rsidR="00EA03FA" w:rsidRPr="00BD1915">
        <w:rPr>
          <w:lang w:val="en-GB"/>
        </w:rPr>
        <w:t xml:space="preserve">cleaning the </w:t>
      </w:r>
      <w:r w:rsidR="007441DA">
        <w:rPr>
          <w:lang w:val="en-GB"/>
        </w:rPr>
        <w:t xml:space="preserve">membrane </w:t>
      </w:r>
      <w:r w:rsidR="00EA03FA" w:rsidRPr="00BD1915">
        <w:rPr>
          <w:lang w:val="en-GB"/>
        </w:rPr>
        <w:t xml:space="preserve">surface </w:t>
      </w:r>
      <w:r w:rsidR="00995921">
        <w:rPr>
          <w:lang w:val="en-GB"/>
        </w:rPr>
        <w:t>by water or specific chemicals</w:t>
      </w:r>
      <w:r w:rsidR="007441DA">
        <w:rPr>
          <w:lang w:val="en-GB"/>
        </w:rPr>
        <w:t xml:space="preserve"> or</w:t>
      </w:r>
      <w:r w:rsidR="00EA03FA" w:rsidRPr="00BD1915">
        <w:rPr>
          <w:lang w:val="en-GB"/>
        </w:rPr>
        <w:t xml:space="preserve"> avoiding </w:t>
      </w:r>
      <w:r w:rsidR="007441DA">
        <w:rPr>
          <w:lang w:val="en-GB"/>
        </w:rPr>
        <w:t>to operate the system at too high pressure values</w:t>
      </w:r>
      <w:r w:rsidR="00C912BF">
        <w:rPr>
          <w:lang w:val="en-GB"/>
        </w:rPr>
        <w:t xml:space="preserve"> (Stoller et al., 2017</w:t>
      </w:r>
      <w:r w:rsidR="00995921">
        <w:rPr>
          <w:lang w:val="en-GB"/>
        </w:rPr>
        <w:t>b</w:t>
      </w:r>
      <w:r w:rsidR="00C912BF">
        <w:rPr>
          <w:lang w:val="en-GB"/>
        </w:rPr>
        <w:t>)</w:t>
      </w:r>
      <w:r w:rsidR="00BC14B9">
        <w:rPr>
          <w:lang w:val="en-GB"/>
        </w:rPr>
        <w:t xml:space="preserve">. </w:t>
      </w:r>
      <w:r w:rsidR="007441DA">
        <w:rPr>
          <w:lang w:val="en-GB"/>
        </w:rPr>
        <w:t>Once the system is defined, the last step of membrane process design is t</w:t>
      </w:r>
      <w:r w:rsidR="0076134E">
        <w:rPr>
          <w:lang w:val="en-GB"/>
        </w:rPr>
        <w:t>o</w:t>
      </w:r>
      <w:r w:rsidR="007441DA">
        <w:rPr>
          <w:lang w:val="en-GB"/>
        </w:rPr>
        <w:t xml:space="preserve"> determine the proper membrane area requirements to operate in fouling inhibited conditions</w:t>
      </w:r>
      <w:r w:rsidR="00995921">
        <w:rPr>
          <w:lang w:val="en-GB"/>
        </w:rPr>
        <w:t>. Various wastewater pre-treatments have been developed (Vilardi et al., 2017a) through the use of nanoparticles</w:t>
      </w:r>
      <w:r w:rsidR="00F65E20">
        <w:rPr>
          <w:lang w:val="en-GB"/>
        </w:rPr>
        <w:t xml:space="preserve"> (Vilardi, 2019)</w:t>
      </w:r>
      <w:r w:rsidR="00995921">
        <w:rPr>
          <w:lang w:val="en-GB"/>
        </w:rPr>
        <w:t>, such as</w:t>
      </w:r>
      <w:r w:rsidR="00F65E20">
        <w:rPr>
          <w:lang w:val="en-GB"/>
        </w:rPr>
        <w:t xml:space="preserve"> metallic</w:t>
      </w:r>
      <w:r w:rsidR="00995921">
        <w:rPr>
          <w:lang w:val="en-GB"/>
        </w:rPr>
        <w:t xml:space="preserve"> iron-</w:t>
      </w:r>
      <w:r w:rsidR="00F65E20">
        <w:rPr>
          <w:lang w:val="en-GB"/>
        </w:rPr>
        <w:t>based (Vilardi et al., 2017b), magnetite</w:t>
      </w:r>
      <w:r w:rsidR="00374750">
        <w:rPr>
          <w:lang w:val="en-GB"/>
        </w:rPr>
        <w:t>-based (Vilardi et al., 2018d</w:t>
      </w:r>
      <w:r w:rsidR="00F65E20">
        <w:rPr>
          <w:lang w:val="en-GB"/>
        </w:rPr>
        <w:t>), silica-based (Chinh et al., 2019) and</w:t>
      </w:r>
      <w:r w:rsidR="00995921">
        <w:rPr>
          <w:lang w:val="en-GB"/>
        </w:rPr>
        <w:t xml:space="preserve"> titania-based ones (Chinh et al., 2018). Other efficient pre-treatments require the use of Fenton-like processes</w:t>
      </w:r>
      <w:r w:rsidR="00F65E20">
        <w:rPr>
          <w:lang w:val="en-GB"/>
        </w:rPr>
        <w:t xml:space="preserve"> (Vilardi et al., 2019a),</w:t>
      </w:r>
      <w:r w:rsidR="00374750">
        <w:rPr>
          <w:lang w:val="en-GB"/>
        </w:rPr>
        <w:t xml:space="preserve"> also employing nanoparticles (Vilardi et al. 2018e)</w:t>
      </w:r>
      <w:r w:rsidR="00995921">
        <w:rPr>
          <w:lang w:val="en-GB"/>
        </w:rPr>
        <w:t xml:space="preserve"> other advanced oxidation processes (Vilardi et al., 2018</w:t>
      </w:r>
      <w:r w:rsidR="00374750">
        <w:rPr>
          <w:lang w:val="en-GB"/>
        </w:rPr>
        <w:t>f</w:t>
      </w:r>
      <w:r w:rsidR="00995921">
        <w:rPr>
          <w:lang w:val="en-GB"/>
        </w:rPr>
        <w:t>)</w:t>
      </w:r>
      <w:r w:rsidR="00F65E20">
        <w:rPr>
          <w:lang w:val="en-GB"/>
        </w:rPr>
        <w:t xml:space="preserve"> and analogous intensified processes (Vilardi et al., 2019b)</w:t>
      </w:r>
      <w:r w:rsidR="00995921">
        <w:rPr>
          <w:lang w:val="en-GB"/>
        </w:rPr>
        <w:t>.</w:t>
      </w:r>
    </w:p>
    <w:p w:rsidR="001B69A9" w:rsidRDefault="007441DA" w:rsidP="00337E44">
      <w:pPr>
        <w:pStyle w:val="CETBodytext"/>
        <w:rPr>
          <w:lang w:val="en-GB"/>
        </w:rPr>
      </w:pPr>
      <w:r>
        <w:rPr>
          <w:lang w:val="en-GB"/>
        </w:rPr>
        <w:t>At</w:t>
      </w:r>
      <w:r w:rsidR="00775CA9">
        <w:rPr>
          <w:lang w:val="en-GB"/>
        </w:rPr>
        <w:t xml:space="preserve"> industrial level, </w:t>
      </w:r>
      <w:r>
        <w:rPr>
          <w:lang w:val="en-GB"/>
        </w:rPr>
        <w:t>interest focuses on a fixed capacity of the process, therefore to operate the plant at constant</w:t>
      </w:r>
      <w:r w:rsidR="00775CA9">
        <w:rPr>
          <w:lang w:val="en-GB"/>
        </w:rPr>
        <w:t xml:space="preserve"> permeate flow </w:t>
      </w:r>
      <w:r>
        <w:rPr>
          <w:lang w:val="en-GB"/>
        </w:rPr>
        <w:t>rates in order to reach both</w:t>
      </w:r>
      <w:r w:rsidR="00655B90">
        <w:rPr>
          <w:lang w:val="en-GB"/>
        </w:rPr>
        <w:t xml:space="preserve"> target</w:t>
      </w:r>
      <w:r>
        <w:rPr>
          <w:lang w:val="en-GB"/>
        </w:rPr>
        <w:t>s</w:t>
      </w:r>
      <w:r w:rsidR="00655B90">
        <w:rPr>
          <w:lang w:val="en-GB"/>
        </w:rPr>
        <w:t xml:space="preserve"> </w:t>
      </w:r>
      <w:r>
        <w:rPr>
          <w:lang w:val="en-GB"/>
        </w:rPr>
        <w:t xml:space="preserve">from </w:t>
      </w:r>
      <w:r w:rsidR="00655B90">
        <w:rPr>
          <w:lang w:val="en-GB"/>
        </w:rPr>
        <w:t>an economic and a productive point of view</w:t>
      </w:r>
      <w:r>
        <w:rPr>
          <w:lang w:val="en-GB"/>
        </w:rPr>
        <w:t>, respectively</w:t>
      </w:r>
      <w:r w:rsidR="0044168D">
        <w:rPr>
          <w:lang w:val="en-GB"/>
        </w:rPr>
        <w:t xml:space="preserve"> (Stoller et al., 2018)</w:t>
      </w:r>
      <w:r w:rsidR="00655B90">
        <w:rPr>
          <w:lang w:val="en-GB"/>
        </w:rPr>
        <w:t xml:space="preserve">. </w:t>
      </w:r>
      <w:r w:rsidR="001B69A9">
        <w:rPr>
          <w:lang w:val="en-GB"/>
        </w:rPr>
        <w:t xml:space="preserve">This requires to adopt specific control system designs that relies on a proper knowledge of the fouling behaviour and development as a function of time during operation. One possibility to evaluate the evolution of fouling is to adopt the </w:t>
      </w:r>
      <w:r w:rsidR="00655B90">
        <w:rPr>
          <w:lang w:val="en-GB"/>
        </w:rPr>
        <w:t>boundary</w:t>
      </w:r>
      <w:r w:rsidR="001B69A9">
        <w:rPr>
          <w:lang w:val="en-GB"/>
        </w:rPr>
        <w:t xml:space="preserve"> flux concept</w:t>
      </w:r>
      <w:r w:rsidR="004C7106">
        <w:rPr>
          <w:lang w:val="en-GB"/>
        </w:rPr>
        <w:t xml:space="preserve"> (Stoller and </w:t>
      </w:r>
      <w:r w:rsidR="004C7106" w:rsidRPr="003842C5">
        <w:rPr>
          <w:lang w:val="en-GB"/>
        </w:rPr>
        <w:t>Serrão Mendes, 2017)</w:t>
      </w:r>
      <w:r w:rsidR="001B69A9">
        <w:rPr>
          <w:lang w:val="en-GB"/>
        </w:rPr>
        <w:t xml:space="preserve">. Briefly explained, the boundary flux is equal to the maximum allowable permeate flux that can be obtained by a specific system without the occurrence of irreversible fouling formation, as a function of time. Therefore, the knowledge of the boundary flux value as well as other parameters, such as the sub-boundary fouling rate index </w:t>
      </w:r>
      <w:r w:rsidR="001B69A9">
        <w:rPr>
          <w:rFonts w:cs="Arial"/>
          <w:lang w:val="en-GB"/>
        </w:rPr>
        <w:t>α</w:t>
      </w:r>
      <w:r w:rsidR="001B69A9">
        <w:rPr>
          <w:lang w:val="en-GB"/>
        </w:rPr>
        <w:t>, permits to properly design and control the membrane process for a long period of time.</w:t>
      </w:r>
    </w:p>
    <w:p w:rsidR="00AC3230" w:rsidRPr="00337E44" w:rsidRDefault="00655B90" w:rsidP="00337E44">
      <w:pPr>
        <w:pStyle w:val="CETBodytext"/>
        <w:rPr>
          <w:lang w:val="en-GB"/>
        </w:rPr>
      </w:pPr>
      <w:r>
        <w:rPr>
          <w:lang w:val="en-GB"/>
        </w:rPr>
        <w:t>In this paper</w:t>
      </w:r>
      <w:r w:rsidR="007B697F">
        <w:rPr>
          <w:lang w:val="en-GB"/>
        </w:rPr>
        <w:t>,</w:t>
      </w:r>
      <w:r>
        <w:rPr>
          <w:lang w:val="en-GB"/>
        </w:rPr>
        <w:t xml:space="preserve"> </w:t>
      </w:r>
      <w:r w:rsidR="001B69A9">
        <w:rPr>
          <w:lang w:val="en-GB"/>
        </w:rPr>
        <w:t>the</w:t>
      </w:r>
      <w:r>
        <w:rPr>
          <w:lang w:val="en-GB"/>
        </w:rPr>
        <w:t xml:space="preserve"> boundary flux </w:t>
      </w:r>
      <w:r w:rsidR="001B69A9">
        <w:rPr>
          <w:lang w:val="en-GB"/>
        </w:rPr>
        <w:t>concept will be presented and will be checked for its usefulness in determining the membrane area requirements A as a function of the recovery Y</w:t>
      </w:r>
      <w:r>
        <w:rPr>
          <w:lang w:val="en-GB"/>
        </w:rPr>
        <w:t xml:space="preserve"> </w:t>
      </w:r>
      <w:r w:rsidR="001B69A9">
        <w:rPr>
          <w:lang w:val="en-GB"/>
        </w:rPr>
        <w:t xml:space="preserve">for </w:t>
      </w:r>
      <w:r w:rsidR="00FA0A08">
        <w:rPr>
          <w:lang w:val="en-GB"/>
        </w:rPr>
        <w:t xml:space="preserve">different feed streams by using </w:t>
      </w:r>
      <w:r w:rsidR="005339E7">
        <w:rPr>
          <w:lang w:val="en-GB"/>
        </w:rPr>
        <w:t xml:space="preserve">MF (microfiltration), </w:t>
      </w:r>
      <w:r w:rsidR="001B69A9">
        <w:rPr>
          <w:lang w:val="en-GB"/>
        </w:rPr>
        <w:t>UF</w:t>
      </w:r>
      <w:r w:rsidR="0076134E">
        <w:rPr>
          <w:lang w:val="en-GB"/>
        </w:rPr>
        <w:t xml:space="preserve"> (ultrafiltration)</w:t>
      </w:r>
      <w:r w:rsidR="005339E7">
        <w:rPr>
          <w:lang w:val="en-GB"/>
        </w:rPr>
        <w:t xml:space="preserve"> and </w:t>
      </w:r>
      <w:r w:rsidR="001B69A9">
        <w:rPr>
          <w:lang w:val="en-GB"/>
        </w:rPr>
        <w:t xml:space="preserve">NF </w:t>
      </w:r>
      <w:r w:rsidR="0076134E">
        <w:rPr>
          <w:lang w:val="en-GB"/>
        </w:rPr>
        <w:t>(nanofiltration)</w:t>
      </w:r>
      <w:r w:rsidR="001B69A9">
        <w:rPr>
          <w:lang w:val="en-GB"/>
        </w:rPr>
        <w:t>, respectively</w:t>
      </w:r>
      <w:r w:rsidR="00FA0A08">
        <w:rPr>
          <w:lang w:val="en-GB"/>
        </w:rPr>
        <w:t>. The analysis shows that only at higher values of Y the ongoing fouling phenomena should be taken into account for optimized membrane process design purposes</w:t>
      </w:r>
      <w:r w:rsidR="000C41CE">
        <w:rPr>
          <w:lang w:val="en-GB"/>
        </w:rPr>
        <w:t>.</w:t>
      </w:r>
      <w:r w:rsidR="00FA0A08">
        <w:rPr>
          <w:lang w:val="en-GB"/>
        </w:rPr>
        <w:t xml:space="preserve"> On contrary, at lower Y values, the most relevant design parameter appeared to be the membrane performances in terms of high membrane permeability values.  </w:t>
      </w:r>
    </w:p>
    <w:p w:rsidR="00BA7259" w:rsidRDefault="00B64E86" w:rsidP="00BA7259">
      <w:pPr>
        <w:pStyle w:val="CETHeading1"/>
      </w:pPr>
      <w:bookmarkStart w:id="1" w:name="_Hlk528598046"/>
      <w:r>
        <w:t>Methods</w:t>
      </w:r>
    </w:p>
    <w:bookmarkEnd w:id="1"/>
    <w:p w:rsidR="007C7F15" w:rsidRPr="007C7F15" w:rsidRDefault="007C7F15" w:rsidP="00CC7488">
      <w:pPr>
        <w:pStyle w:val="CETBodytext"/>
      </w:pPr>
      <w:r w:rsidRPr="007C7F15">
        <w:t xml:space="preserve">The boundary flux concept permits to describe the fouling behaviour of membrane systems as a function of the operating time. The method relies on a set of equations that is possible to integrate in time, thus permitting to evaluate the separation process outcome and performances. </w:t>
      </w:r>
    </w:p>
    <w:p w:rsidR="00CC7488" w:rsidRDefault="00B64E86" w:rsidP="00CC7488">
      <w:pPr>
        <w:pStyle w:val="CETBodytext"/>
      </w:pPr>
      <w:r>
        <w:t xml:space="preserve">In order to perform this study, data was taken from literature </w:t>
      </w:r>
      <w:r w:rsidRPr="00373155">
        <w:t>and a simulation code was used to calculate the separation outcome and performances of all of the selected systems.</w:t>
      </w:r>
      <w:r w:rsidR="002C2731" w:rsidRPr="00373155">
        <w:t xml:space="preserve"> The details of </w:t>
      </w:r>
      <w:r w:rsidR="007C7F15" w:rsidRPr="00373155">
        <w:t xml:space="preserve">the relevant nomenclature of the used variables within this paper </w:t>
      </w:r>
      <w:r w:rsidR="00373155" w:rsidRPr="00373155">
        <w:t>are reported elsewhere</w:t>
      </w:r>
      <w:r w:rsidR="002B12F1" w:rsidRPr="00373155">
        <w:t xml:space="preserve"> </w:t>
      </w:r>
      <w:r w:rsidR="00373155" w:rsidRPr="00373155">
        <w:t>(Stoller and Ochando-Pulido, 2014).</w:t>
      </w:r>
      <w:r w:rsidR="00D0010D">
        <w:t xml:space="preserve"> </w:t>
      </w:r>
    </w:p>
    <w:p w:rsidR="00CC7488" w:rsidRDefault="00CC7488" w:rsidP="00CC7488">
      <w:pPr>
        <w:pStyle w:val="CETBodytext"/>
      </w:pPr>
    </w:p>
    <w:p w:rsidR="00D0010D" w:rsidRDefault="00B15670" w:rsidP="00CC7488">
      <w:pPr>
        <w:pStyle w:val="CETBodytext"/>
      </w:pPr>
      <w:r>
        <w:t>Below, t</w:t>
      </w:r>
      <w:r w:rsidR="00D0010D">
        <w:t>he used model eq</w:t>
      </w:r>
      <w:r>
        <w:t>uations set are described:</w:t>
      </w:r>
    </w:p>
    <w:p w:rsidR="00CC7488" w:rsidRDefault="00CC7488" w:rsidP="00CC7488">
      <w:pPr>
        <w:pStyle w:val="CETBodytext"/>
      </w:pPr>
    </w:p>
    <w:p w:rsidR="00B15670" w:rsidRDefault="005339E7" w:rsidP="000971B4">
      <w:pPr>
        <w:pStyle w:val="Paragrafoelenco"/>
        <w:ind w:left="0"/>
      </w:pPr>
      <m:oMath>
        <m:r>
          <m:rPr>
            <m:sty m:val="p"/>
          </m:rPr>
          <w:rPr>
            <w:rFonts w:ascii="Cambria Math" w:hAnsi="Cambria Math"/>
          </w:rPr>
          <m:t>-</m:t>
        </m:r>
        <m:f>
          <m:fPr>
            <m:ctrlPr>
              <w:rPr>
                <w:rFonts w:ascii="Cambria Math" w:hAnsi="Cambria Math"/>
              </w:rPr>
            </m:ctrlPr>
          </m:fPr>
          <m:num>
            <m:r>
              <m:rPr>
                <m:sty m:val="p"/>
              </m:rPr>
              <w:rPr>
                <w:rFonts w:ascii="Cambria Math" w:hAnsi="Cambria Math"/>
              </w:rPr>
              <m:t>dm</m:t>
            </m:r>
          </m:num>
          <m:den>
            <m:r>
              <m:rPr>
                <m:sty m:val="p"/>
              </m:rPr>
              <w:rPr>
                <w:rFonts w:ascii="Cambria Math" w:hAnsi="Cambria Math"/>
              </w:rPr>
              <m:t>dt</m:t>
            </m:r>
          </m:den>
        </m:f>
        <m:r>
          <m:rPr>
            <m:sty m:val="p"/>
          </m:rPr>
          <w:rPr>
            <w:rFonts w:ascii="Cambria Math" w:hAnsi="Cambria Math"/>
          </w:rPr>
          <m:t>= α;                                    when Jp</m:t>
        </m:r>
        <m:d>
          <m:dPr>
            <m:ctrlPr>
              <w:rPr>
                <w:rFonts w:ascii="Cambria Math" w:hAnsi="Cambria Math"/>
              </w:rPr>
            </m:ctrlPr>
          </m:dPr>
          <m:e>
            <m:r>
              <m:rPr>
                <m:sty m:val="p"/>
              </m:rPr>
              <w:rPr>
                <w:rFonts w:ascii="Cambria Math" w:hAnsi="Cambria Math"/>
              </w:rPr>
              <m:t>t</m:t>
            </m:r>
          </m:e>
        </m:d>
        <m:r>
          <m:rPr>
            <m:sty m:val="p"/>
          </m:rPr>
          <w:rPr>
            <w:rFonts w:ascii="Cambria Math" w:hAnsi="Cambria Math"/>
          </w:rPr>
          <m:t xml:space="preserve">≤Jb    </m:t>
        </m:r>
      </m:oMath>
      <w:r w:rsidR="003842C5">
        <w:tab/>
      </w:r>
      <w:r w:rsidR="003842C5">
        <w:tab/>
      </w:r>
      <w:r w:rsidR="003842C5">
        <w:tab/>
        <w:t>(1)</w:t>
      </w:r>
    </w:p>
    <w:p w:rsidR="00CC7488" w:rsidRPr="00B15670" w:rsidRDefault="00CC7488" w:rsidP="000971B4">
      <w:pPr>
        <w:pStyle w:val="Paragrafoelenco"/>
        <w:ind w:left="0"/>
      </w:pPr>
    </w:p>
    <w:p w:rsidR="00B15670" w:rsidRPr="00B15670" w:rsidRDefault="005339E7" w:rsidP="00B15670">
      <w:pPr>
        <w:pStyle w:val="Paragrafoelenco"/>
        <w:ind w:left="0"/>
      </w:pPr>
      <m:oMath>
        <m:r>
          <m:rPr>
            <m:sty m:val="p"/>
          </m:rPr>
          <w:rPr>
            <w:rFonts w:ascii="Cambria Math" w:hAnsi="Cambria Math"/>
          </w:rPr>
          <m:t>-</m:t>
        </m:r>
        <m:f>
          <m:fPr>
            <m:ctrlPr>
              <w:rPr>
                <w:rFonts w:ascii="Cambria Math" w:hAnsi="Cambria Math"/>
              </w:rPr>
            </m:ctrlPr>
          </m:fPr>
          <m:num>
            <m:r>
              <m:rPr>
                <m:sty m:val="p"/>
              </m:rPr>
              <w:rPr>
                <w:rFonts w:ascii="Cambria Math" w:hAnsi="Cambria Math"/>
              </w:rPr>
              <m:t>dm</m:t>
            </m:r>
          </m:num>
          <m:den>
            <m:r>
              <m:rPr>
                <m:sty m:val="p"/>
              </m:rPr>
              <w:rPr>
                <w:rFonts w:ascii="Cambria Math" w:hAnsi="Cambria Math"/>
              </w:rPr>
              <m:t>dt</m:t>
            </m:r>
          </m:den>
        </m:f>
        <m:r>
          <m:rPr>
            <m:sty m:val="p"/>
          </m:rPr>
          <w:rPr>
            <w:rFonts w:ascii="Cambria Math" w:hAnsi="Cambria Math"/>
          </w:rPr>
          <m:t>= α+β</m:t>
        </m:r>
        <m:d>
          <m:dPr>
            <m:ctrlPr>
              <w:rPr>
                <w:rFonts w:ascii="Cambria Math" w:hAnsi="Cambria Math"/>
              </w:rPr>
            </m:ctrlPr>
          </m:dPr>
          <m:e>
            <m:r>
              <m:rPr>
                <m:sty m:val="p"/>
              </m:rPr>
              <w:rPr>
                <w:rFonts w:ascii="Cambria Math" w:hAnsi="Cambria Math"/>
              </w:rPr>
              <m:t>Jp</m:t>
            </m:r>
            <m:d>
              <m:dPr>
                <m:ctrlPr>
                  <w:rPr>
                    <w:rFonts w:ascii="Cambria Math" w:hAnsi="Cambria Math"/>
                  </w:rPr>
                </m:ctrlPr>
              </m:dPr>
              <m:e>
                <m:r>
                  <m:rPr>
                    <m:sty m:val="p"/>
                  </m:rPr>
                  <w:rPr>
                    <w:rFonts w:ascii="Cambria Math" w:hAnsi="Cambria Math"/>
                  </w:rPr>
                  <m:t>t</m:t>
                </m:r>
              </m:e>
            </m:d>
            <m:r>
              <m:rPr>
                <m:sty m:val="p"/>
              </m:rPr>
              <w:rPr>
                <w:rFonts w:ascii="Cambria Math" w:hAnsi="Cambria Math"/>
              </w:rPr>
              <m:t>-Jb</m:t>
            </m:r>
          </m:e>
        </m:d>
        <m:r>
          <m:rPr>
            <m:sty m:val="p"/>
          </m:rPr>
          <w:rPr>
            <w:rFonts w:ascii="Cambria Math" w:hAnsi="Cambria Math"/>
          </w:rPr>
          <m:t>;     when Jp</m:t>
        </m:r>
        <m:d>
          <m:dPr>
            <m:ctrlPr>
              <w:rPr>
                <w:rFonts w:ascii="Cambria Math" w:hAnsi="Cambria Math"/>
              </w:rPr>
            </m:ctrlPr>
          </m:dPr>
          <m:e>
            <m:r>
              <m:rPr>
                <m:sty m:val="p"/>
              </m:rPr>
              <w:rPr>
                <w:rFonts w:ascii="Cambria Math" w:hAnsi="Cambria Math"/>
              </w:rPr>
              <m:t>t</m:t>
            </m:r>
          </m:e>
        </m:d>
        <m:r>
          <m:rPr>
            <m:sty m:val="p"/>
          </m:rPr>
          <w:rPr>
            <w:rFonts w:ascii="Cambria Math" w:hAnsi="Cambria Math"/>
          </w:rPr>
          <m:t>&gt;Jb</m:t>
        </m:r>
      </m:oMath>
      <w:r w:rsidR="003842C5">
        <w:tab/>
      </w:r>
      <w:r w:rsidR="003842C5">
        <w:tab/>
      </w:r>
      <w:r w:rsidR="003842C5">
        <w:tab/>
        <w:t>(2)</w:t>
      </w:r>
    </w:p>
    <w:p w:rsidR="00B15670" w:rsidRPr="00B15670" w:rsidRDefault="00B15670" w:rsidP="00B15670">
      <w:pPr>
        <w:pStyle w:val="Paragrafoelenco"/>
        <w:ind w:left="0"/>
      </w:pPr>
    </w:p>
    <w:p w:rsidR="00B15670" w:rsidRDefault="00B15670" w:rsidP="00B15670">
      <w:pPr>
        <w:pStyle w:val="Paragrafoelenco"/>
        <w:ind w:left="0"/>
      </w:pPr>
      <w:r>
        <w:t>Where:</w:t>
      </w:r>
    </w:p>
    <w:p w:rsidR="00B15670" w:rsidRDefault="00B15670" w:rsidP="00B15670">
      <w:pPr>
        <w:pStyle w:val="Paragrafoelenco"/>
        <w:ind w:left="0"/>
      </w:pPr>
      <w:r>
        <w:t>J</w:t>
      </w:r>
      <w:r w:rsidRPr="00F65E20">
        <w:rPr>
          <w:vertAlign w:val="subscript"/>
        </w:rPr>
        <w:t>p</w:t>
      </w:r>
      <w:r>
        <w:t>(t) is the the permeate flux in function of the time</w:t>
      </w:r>
      <w:r w:rsidR="00C72848">
        <w:t xml:space="preserve"> </w:t>
      </w:r>
      <w:bookmarkStart w:id="2" w:name="_Hlk529899446"/>
      <w:r w:rsidR="00C72848">
        <w:rPr>
          <w:rFonts w:cs="Arial"/>
        </w:rPr>
        <w:t>[Lh</w:t>
      </w:r>
      <w:r w:rsidR="00C72848">
        <w:rPr>
          <w:rFonts w:cs="Arial"/>
          <w:vertAlign w:val="superscript"/>
        </w:rPr>
        <w:t>-1</w:t>
      </w:r>
      <w:r w:rsidR="00C72848">
        <w:rPr>
          <w:rFonts w:cs="Arial"/>
        </w:rPr>
        <w:t>m</w:t>
      </w:r>
      <w:r w:rsidR="00C72848">
        <w:rPr>
          <w:rFonts w:cs="Arial"/>
          <w:vertAlign w:val="superscript"/>
        </w:rPr>
        <w:t>-2</w:t>
      </w:r>
      <w:r w:rsidR="00C72848">
        <w:rPr>
          <w:rFonts w:cs="Arial"/>
        </w:rPr>
        <w:t>]</w:t>
      </w:r>
      <w:r>
        <w:t>;</w:t>
      </w:r>
      <w:bookmarkEnd w:id="2"/>
    </w:p>
    <w:p w:rsidR="00B15670" w:rsidRDefault="00B15670" w:rsidP="00B15670">
      <w:pPr>
        <w:pStyle w:val="Paragrafoelenco"/>
        <w:ind w:left="0"/>
      </w:pPr>
      <w:r>
        <w:t>J</w:t>
      </w:r>
      <w:r w:rsidR="00C72848" w:rsidRPr="00F65E20">
        <w:rPr>
          <w:vertAlign w:val="subscript"/>
        </w:rPr>
        <w:t>b</w:t>
      </w:r>
      <w:r w:rsidR="00C72848">
        <w:t xml:space="preserve"> is the value of boundary flux </w:t>
      </w:r>
      <w:r w:rsidR="00C72848">
        <w:rPr>
          <w:rFonts w:cs="Arial"/>
        </w:rPr>
        <w:t>[Lh</w:t>
      </w:r>
      <w:r w:rsidR="00C72848">
        <w:rPr>
          <w:rFonts w:cs="Arial"/>
          <w:vertAlign w:val="superscript"/>
        </w:rPr>
        <w:t>-1</w:t>
      </w:r>
      <w:r w:rsidR="00C72848">
        <w:rPr>
          <w:rFonts w:cs="Arial"/>
        </w:rPr>
        <w:t>m</w:t>
      </w:r>
      <w:r w:rsidR="00C72848">
        <w:rPr>
          <w:rFonts w:cs="Arial"/>
          <w:vertAlign w:val="superscript"/>
        </w:rPr>
        <w:t>-2</w:t>
      </w:r>
      <w:r w:rsidR="00C72848">
        <w:rPr>
          <w:rFonts w:cs="Arial"/>
        </w:rPr>
        <w:t>]</w:t>
      </w:r>
      <w:r w:rsidR="00C72848">
        <w:t>;</w:t>
      </w:r>
    </w:p>
    <w:p w:rsidR="00B15670" w:rsidRDefault="00B15670" w:rsidP="00B15670">
      <w:pPr>
        <w:pStyle w:val="Paragrafoelenco"/>
        <w:ind w:left="0"/>
      </w:pPr>
      <w:r>
        <w:t>m represents the permeability of the membrane area</w:t>
      </w:r>
      <w:r w:rsidR="00C72848">
        <w:t xml:space="preserve"> </w:t>
      </w:r>
      <w:r w:rsidR="00C72848">
        <w:rPr>
          <w:rFonts w:cs="Arial"/>
        </w:rPr>
        <w:t>[Lh</w:t>
      </w:r>
      <w:r w:rsidR="00C72848">
        <w:rPr>
          <w:rFonts w:cs="Arial"/>
          <w:vertAlign w:val="superscript"/>
        </w:rPr>
        <w:t>-2</w:t>
      </w:r>
      <w:r w:rsidR="00C72848">
        <w:rPr>
          <w:rFonts w:cs="Arial"/>
        </w:rPr>
        <w:t>m</w:t>
      </w:r>
      <w:r w:rsidR="00C72848">
        <w:rPr>
          <w:rFonts w:cs="Arial"/>
          <w:vertAlign w:val="superscript"/>
        </w:rPr>
        <w:t>-2</w:t>
      </w:r>
      <w:r w:rsidR="00C72848">
        <w:rPr>
          <w:rFonts w:cs="Arial"/>
        </w:rPr>
        <w:t>bar</w:t>
      </w:r>
      <w:r w:rsidR="00C72848">
        <w:rPr>
          <w:rFonts w:cs="Arial"/>
          <w:vertAlign w:val="superscript"/>
        </w:rPr>
        <w:t>-1</w:t>
      </w:r>
      <w:r w:rsidR="00C72848">
        <w:rPr>
          <w:rFonts w:cs="Arial"/>
        </w:rPr>
        <w:t>]</w:t>
      </w:r>
      <w:r>
        <w:t>;</w:t>
      </w:r>
    </w:p>
    <w:p w:rsidR="00B15670" w:rsidRDefault="00B15670" w:rsidP="00B15670">
      <w:pPr>
        <w:pStyle w:val="Paragrafoelenco"/>
        <w:ind w:left="0"/>
        <w:rPr>
          <w:rFonts w:cs="Arial"/>
        </w:rPr>
      </w:pPr>
      <w:r>
        <w:rPr>
          <w:rFonts w:cs="Arial"/>
        </w:rPr>
        <w:t>α represents the constant permeability reduction rate by the system</w:t>
      </w:r>
      <w:r w:rsidR="000D19A0">
        <w:rPr>
          <w:rFonts w:cs="Arial"/>
        </w:rPr>
        <w:t xml:space="preserve"> [Lh</w:t>
      </w:r>
      <w:r w:rsidR="000D19A0">
        <w:rPr>
          <w:rFonts w:cs="Arial"/>
          <w:vertAlign w:val="superscript"/>
        </w:rPr>
        <w:t>-2</w:t>
      </w:r>
      <w:r w:rsidR="000D19A0">
        <w:rPr>
          <w:rFonts w:cs="Arial"/>
        </w:rPr>
        <w:t>m</w:t>
      </w:r>
      <w:r w:rsidR="000D19A0">
        <w:rPr>
          <w:rFonts w:cs="Arial"/>
          <w:vertAlign w:val="superscript"/>
        </w:rPr>
        <w:t>-2</w:t>
      </w:r>
      <w:r w:rsidR="000D19A0">
        <w:rPr>
          <w:rFonts w:cs="Arial"/>
        </w:rPr>
        <w:t>bar</w:t>
      </w:r>
      <w:r w:rsidR="000D19A0">
        <w:rPr>
          <w:rFonts w:cs="Arial"/>
          <w:vertAlign w:val="superscript"/>
        </w:rPr>
        <w:t>-1</w:t>
      </w:r>
      <w:r w:rsidR="000D19A0">
        <w:rPr>
          <w:rFonts w:cs="Arial"/>
        </w:rPr>
        <w:t>]</w:t>
      </w:r>
      <w:r>
        <w:rPr>
          <w:rFonts w:cs="Arial"/>
        </w:rPr>
        <w:t>, called the sub-boundary fouling rate and valid for all flux values</w:t>
      </w:r>
      <w:r w:rsidR="000D19A0">
        <w:rPr>
          <w:rFonts w:cs="Arial"/>
        </w:rPr>
        <w:t>;</w:t>
      </w:r>
    </w:p>
    <w:p w:rsidR="00B15670" w:rsidRDefault="00B15670" w:rsidP="00B15670">
      <w:pPr>
        <w:pStyle w:val="Paragrafoelenco"/>
        <w:ind w:left="0"/>
      </w:pPr>
      <w:r>
        <w:rPr>
          <w:rFonts w:cs="Arial"/>
        </w:rPr>
        <w:t>β</w:t>
      </w:r>
      <w:r>
        <w:t xml:space="preserve"> represents the fouling behaviour in the exponential fouling regime of the system</w:t>
      </w:r>
      <w:r w:rsidR="000D19A0">
        <w:t xml:space="preserve"> [h</w:t>
      </w:r>
      <w:r w:rsidR="000D19A0">
        <w:rPr>
          <w:vertAlign w:val="superscript"/>
        </w:rPr>
        <w:t>-1</w:t>
      </w:r>
      <w:r w:rsidR="000D19A0">
        <w:t>m</w:t>
      </w:r>
      <w:r w:rsidR="000D19A0">
        <w:rPr>
          <w:vertAlign w:val="superscript"/>
        </w:rPr>
        <w:t>-2</w:t>
      </w:r>
      <w:r w:rsidR="000D19A0">
        <w:t>]</w:t>
      </w:r>
      <w:r w:rsidR="007D5F0C">
        <w:t xml:space="preserve">, called super-boundary. This term is not </w:t>
      </w:r>
      <w:r w:rsidR="00120430">
        <w:t>constant but</w:t>
      </w:r>
      <w:r w:rsidR="007D5F0C">
        <w:t xml:space="preserve"> change in function of the transmembrane pressure (TMP).</w:t>
      </w:r>
    </w:p>
    <w:p w:rsidR="00CC7488" w:rsidRDefault="00CC7488" w:rsidP="00B15670">
      <w:pPr>
        <w:pStyle w:val="Paragrafoelenco"/>
        <w:ind w:left="0"/>
      </w:pPr>
    </w:p>
    <w:p w:rsidR="00F12785" w:rsidRPr="00F12785" w:rsidRDefault="00F12785" w:rsidP="00F12785">
      <w:pPr>
        <w:pStyle w:val="Paragrafoelenco"/>
        <w:ind w:left="0"/>
        <w:rPr>
          <w:rFonts w:cs="Arial"/>
        </w:rPr>
      </w:pPr>
      <w:r w:rsidRPr="00F12785">
        <w:rPr>
          <w:rFonts w:cs="Arial"/>
        </w:rPr>
        <w:t>A proper membrane process design should alw</w:t>
      </w:r>
      <w:r>
        <w:rPr>
          <w:rFonts w:cs="Arial"/>
        </w:rPr>
        <w:t xml:space="preserve">ays target to sub-boundary operating conditions since irreversible fouling is avoided or at least strongly inhibited, thus maximizing the longevity of the membrane modules. This latter aspect is of particular importance in those applications of low added value products such as purified water from waste water streams, in order to reach economic feasibility of the treatment process. </w:t>
      </w:r>
    </w:p>
    <w:p w:rsidR="002B12F1" w:rsidRDefault="002B12F1" w:rsidP="0076721E">
      <w:pPr>
        <w:pStyle w:val="Paragrafoelenco"/>
        <w:ind w:left="0"/>
      </w:pPr>
      <w:r>
        <w:lastRenderedPageBreak/>
        <w:t>The analys</w:t>
      </w:r>
      <w:r w:rsidR="00F12785">
        <w:t>e</w:t>
      </w:r>
      <w:r>
        <w:t xml:space="preserve">s </w:t>
      </w:r>
      <w:r w:rsidR="00F12785">
        <w:t>were</w:t>
      </w:r>
      <w:r>
        <w:t xml:space="preserve"> grouped as a function of the membrane pore size, considering the common way to define different membrane classes (MF, UF, NF). Within each class, the simulation code was used on different feed streams found in literature. </w:t>
      </w:r>
      <w:r w:rsidR="002C2731">
        <w:t>In order to run the simulation, some input parameters are required, concerning feed stream characteristics (KP(0)), productivity (ρ1,</w:t>
      </w:r>
      <w:r w:rsidR="002C2731" w:rsidRPr="002C2731">
        <w:t xml:space="preserve"> </w:t>
      </w:r>
      <w:r w:rsidR="002C2731">
        <w:t>m1,</w:t>
      </w:r>
      <w:r w:rsidR="002C2731" w:rsidRPr="002C2731">
        <w:t xml:space="preserve"> </w:t>
      </w:r>
      <w:r w:rsidR="002C2731">
        <w:t>w), selectivity (σ, γ) and membrane fouling (J</w:t>
      </w:r>
      <w:r w:rsidR="002C2731" w:rsidRPr="00F65E20">
        <w:rPr>
          <w:vertAlign w:val="subscript"/>
        </w:rPr>
        <w:t>b</w:t>
      </w:r>
      <w:r w:rsidR="002C2731">
        <w:t>, TMP</w:t>
      </w:r>
      <w:r w:rsidR="002C2731" w:rsidRPr="00F65E20">
        <w:rPr>
          <w:vertAlign w:val="subscript"/>
        </w:rPr>
        <w:t>b</w:t>
      </w:r>
      <w:r w:rsidR="002C2731">
        <w:t>, α).</w:t>
      </w:r>
      <w:r>
        <w:t xml:space="preserve"> Moreover, some input parameters were fixed for all runs, that is the initial feed stream volume and operating time, equal to 1000 l and 60 min, respectively. </w:t>
      </w:r>
    </w:p>
    <w:p w:rsidR="004566C5" w:rsidRDefault="004566C5" w:rsidP="00E2658C">
      <w:pPr>
        <w:pStyle w:val="Paragrafoelenco"/>
        <w:spacing w:line="240" w:lineRule="auto"/>
        <w:ind w:left="0"/>
      </w:pPr>
      <w:r>
        <w:t>The study was performed to determine the best value for A as a function of the recovery Y, calculated as:</w:t>
      </w:r>
    </w:p>
    <w:p w:rsidR="004566C5" w:rsidRDefault="004566C5" w:rsidP="00E2658C">
      <w:pPr>
        <w:pStyle w:val="Paragrafoelenco"/>
        <w:spacing w:line="240" w:lineRule="auto"/>
        <w:ind w:left="0"/>
      </w:pPr>
    </w:p>
    <w:p w:rsidR="004566C5" w:rsidRDefault="005339E7" w:rsidP="00E2658C">
      <w:pPr>
        <w:pStyle w:val="Paragrafoelenco"/>
        <w:spacing w:line="240" w:lineRule="auto"/>
        <w:ind w:left="0"/>
      </w:pPr>
      <m:oMath>
        <m:r>
          <m:rPr>
            <m:sty m:val="p"/>
          </m:rPr>
          <w:rPr>
            <w:rFonts w:ascii="Cambria Math" w:hAnsi="Cambria Math"/>
          </w:rPr>
          <m:t xml:space="preserve">Y= </m:t>
        </m:r>
        <m:f>
          <m:fPr>
            <m:ctrlPr>
              <w:rPr>
                <w:rFonts w:ascii="Cambria Math" w:hAnsi="Cambria Math"/>
              </w:rPr>
            </m:ctrlPr>
          </m:fPr>
          <m:num>
            <m:sSub>
              <m:sSubPr>
                <m:ctrlPr>
                  <w:rPr>
                    <w:rFonts w:ascii="Cambria Math" w:hAnsi="Cambria Math"/>
                  </w:rPr>
                </m:ctrlPr>
              </m:sSubPr>
              <m:e>
                <m:r>
                  <m:rPr>
                    <m:sty m:val="p"/>
                  </m:rPr>
                  <w:rPr>
                    <w:rFonts w:ascii="Cambria Math" w:hAnsi="Cambria Math"/>
                  </w:rPr>
                  <m:t>V</m:t>
                </m:r>
              </m:e>
              <m:sub>
                <m:r>
                  <m:rPr>
                    <m:sty m:val="p"/>
                  </m:rPr>
                  <w:rPr>
                    <w:rFonts w:ascii="Cambria Math" w:hAnsi="Cambria Math"/>
                  </w:rPr>
                  <m:t>p</m:t>
                </m:r>
              </m:sub>
            </m:sSub>
          </m:num>
          <m:den>
            <m:sSub>
              <m:sSubPr>
                <m:ctrlPr>
                  <w:rPr>
                    <w:rFonts w:ascii="Cambria Math" w:hAnsi="Cambria Math"/>
                  </w:rPr>
                </m:ctrlPr>
              </m:sSubPr>
              <m:e>
                <m:r>
                  <m:rPr>
                    <m:sty m:val="p"/>
                  </m:rPr>
                  <w:rPr>
                    <w:rFonts w:ascii="Cambria Math" w:hAnsi="Cambria Math"/>
                  </w:rPr>
                  <m:t>V</m:t>
                </m:r>
              </m:e>
              <m:sub>
                <m:r>
                  <m:rPr>
                    <m:sty m:val="p"/>
                  </m:rPr>
                  <w:rPr>
                    <w:rFonts w:ascii="Cambria Math" w:hAnsi="Cambria Math"/>
                  </w:rPr>
                  <m:t>f</m:t>
                </m:r>
              </m:sub>
            </m:sSub>
          </m:den>
        </m:f>
        <m:r>
          <m:rPr>
            <m:sty m:val="p"/>
          </m:rPr>
          <w:rPr>
            <w:rFonts w:ascii="Cambria Math" w:hAnsi="Cambria Math"/>
          </w:rPr>
          <m:t xml:space="preserve">=1- </m:t>
        </m:r>
        <m:f>
          <m:fPr>
            <m:ctrlPr>
              <w:rPr>
                <w:rFonts w:ascii="Cambria Math" w:hAnsi="Cambria Math"/>
              </w:rPr>
            </m:ctrlPr>
          </m:fPr>
          <m:num>
            <m:r>
              <m:rPr>
                <m:sty m:val="p"/>
              </m:rPr>
              <w:rPr>
                <w:rFonts w:ascii="Cambria Math" w:hAnsi="Cambria Math"/>
              </w:rPr>
              <m:t>1</m:t>
            </m:r>
          </m:num>
          <m:den>
            <m:r>
              <m:rPr>
                <m:sty m:val="p"/>
              </m:rPr>
              <w:rPr>
                <w:rFonts w:ascii="Cambria Math" w:hAnsi="Cambria Math"/>
              </w:rPr>
              <m:t>VRF</m:t>
            </m:r>
          </m:den>
        </m:f>
        <m:r>
          <m:rPr>
            <m:sty m:val="p"/>
          </m:rPr>
          <w:rPr>
            <w:rFonts w:ascii="Cambria Math" w:hAnsi="Cambria Math"/>
          </w:rPr>
          <m:t xml:space="preserve"> </m:t>
        </m:r>
      </m:oMath>
      <w:r w:rsidR="000D19A0">
        <w:tab/>
      </w:r>
      <w:r w:rsidR="000D19A0">
        <w:tab/>
      </w:r>
      <w:r w:rsidR="000D19A0">
        <w:tab/>
        <w:t>(</w:t>
      </w:r>
      <w:r w:rsidR="00F12785">
        <w:t>5</w:t>
      </w:r>
      <w:r w:rsidR="00E63BCD">
        <w:t>)</w:t>
      </w:r>
    </w:p>
    <w:p w:rsidR="004566C5" w:rsidRDefault="004566C5" w:rsidP="00E2658C">
      <w:pPr>
        <w:pStyle w:val="Paragrafoelenco"/>
        <w:spacing w:line="240" w:lineRule="auto"/>
        <w:ind w:left="0"/>
      </w:pPr>
    </w:p>
    <w:p w:rsidR="00E2658C" w:rsidRDefault="00E63BCD" w:rsidP="00CC7488">
      <w:pPr>
        <w:pStyle w:val="CETBodytext"/>
      </w:pPr>
      <w:r>
        <w:t>where V</w:t>
      </w:r>
      <w:r w:rsidRPr="00E63BCD">
        <w:rPr>
          <w:vertAlign w:val="subscript"/>
        </w:rPr>
        <w:t xml:space="preserve">p </w:t>
      </w:r>
      <w:r>
        <w:t>is the permeate volume, V</w:t>
      </w:r>
      <w:r w:rsidRPr="00E63BCD">
        <w:rPr>
          <w:vertAlign w:val="subscript"/>
        </w:rPr>
        <w:t>f</w:t>
      </w:r>
      <w:r>
        <w:t xml:space="preserve"> the feed stream volume and VRF the volume recovery factor. </w:t>
      </w:r>
      <w:r w:rsidR="002B12F1">
        <w:t>In a first step, an infinite membrane area was fixed in order to determine the maximum possible recovery value Y</w:t>
      </w:r>
      <w:r w:rsidR="002B12F1" w:rsidRPr="00E63BCD">
        <w:rPr>
          <w:vertAlign w:val="subscript"/>
        </w:rPr>
        <w:t>max</w:t>
      </w:r>
      <w:r w:rsidR="002B12F1">
        <w:t xml:space="preserve"> for each different feed stream. Subsequently, the required membrane area</w:t>
      </w:r>
      <w:r w:rsidR="007C7F15">
        <w:t>s</w:t>
      </w:r>
      <w:r w:rsidR="002B12F1">
        <w:t xml:space="preserve"> to reach pre-determined separation targets, in detail 50%, 75% and 90% of Y</w:t>
      </w:r>
      <w:r w:rsidR="002B12F1" w:rsidRPr="00E63BCD">
        <w:rPr>
          <w:vertAlign w:val="subscript"/>
        </w:rPr>
        <w:t>max</w:t>
      </w:r>
      <w:r w:rsidR="002B12F1">
        <w:t xml:space="preserve">, respectively, </w:t>
      </w:r>
      <w:r w:rsidR="007C7F15">
        <w:t>were evaluated</w:t>
      </w:r>
      <w:r w:rsidR="00A166FA">
        <w:t xml:space="preserve"> by adopting a Newtonian trial&amp;error procedure</w:t>
      </w:r>
      <w:r w:rsidR="007C7F15">
        <w:t xml:space="preserve">. Finally, the obtained results in terms of membrane area requirements were analysed on </w:t>
      </w:r>
      <w:r w:rsidR="00A166FA">
        <w:t>those</w:t>
      </w:r>
      <w:r w:rsidR="007C7F15">
        <w:t xml:space="preserve"> input parameters</w:t>
      </w:r>
      <w:r w:rsidR="00A166FA">
        <w:t xml:space="preserve"> resulting the most influent on</w:t>
      </w:r>
      <w:r w:rsidR="003222F0">
        <w:t>e</w:t>
      </w:r>
      <w:r w:rsidR="00073A60">
        <w:t xml:space="preserve">: </w:t>
      </w:r>
      <w:r w:rsidR="003222F0">
        <w:t>the pure water permeability w</w:t>
      </w:r>
      <w:r w:rsidR="00073A60">
        <w:t xml:space="preserve"> and</w:t>
      </w:r>
      <w:r w:rsidR="003222F0">
        <w:t xml:space="preserve"> the boundary flux value J</w:t>
      </w:r>
      <w:r w:rsidR="003222F0" w:rsidRPr="00F65E20">
        <w:rPr>
          <w:vertAlign w:val="subscript"/>
        </w:rPr>
        <w:t>b</w:t>
      </w:r>
      <w:r w:rsidR="003222F0">
        <w:t>.</w:t>
      </w:r>
    </w:p>
    <w:p w:rsidR="00E2658C" w:rsidRDefault="00E2658C" w:rsidP="00E2658C">
      <w:pPr>
        <w:pStyle w:val="CETHeading1"/>
      </w:pPr>
      <w:bookmarkStart w:id="3" w:name="_Hlk526355216"/>
      <w:r>
        <w:t xml:space="preserve">Results and Discussion </w:t>
      </w:r>
    </w:p>
    <w:p w:rsidR="000D19A0" w:rsidRDefault="00A166FA" w:rsidP="00886C4C">
      <w:pPr>
        <w:pStyle w:val="Paragrafoelenco"/>
        <w:ind w:left="0"/>
        <w:rPr>
          <w:rFonts w:cs="Arial"/>
          <w:szCs w:val="18"/>
        </w:rPr>
      </w:pPr>
      <w:r>
        <w:rPr>
          <w:rFonts w:cs="Arial"/>
          <w:szCs w:val="18"/>
        </w:rPr>
        <w:t xml:space="preserve">The </w:t>
      </w:r>
      <w:r w:rsidR="00650A51">
        <w:rPr>
          <w:rFonts w:cs="Arial"/>
          <w:szCs w:val="18"/>
        </w:rPr>
        <w:t>obtained results in terms of membrane area requirement as a function of Y are</w:t>
      </w:r>
      <w:r>
        <w:rPr>
          <w:rFonts w:cs="Arial"/>
          <w:szCs w:val="18"/>
        </w:rPr>
        <w:t xml:space="preserve"> reported in </w:t>
      </w:r>
      <w:r w:rsidR="00650A51">
        <w:rPr>
          <w:rFonts w:cs="Arial"/>
          <w:szCs w:val="18"/>
        </w:rPr>
        <w:t>Figures</w:t>
      </w:r>
      <w:r>
        <w:rPr>
          <w:rFonts w:cs="Arial"/>
          <w:szCs w:val="18"/>
        </w:rPr>
        <w:t xml:space="preserve"> 1 to 3, for MF, UF and NF, respectively.</w:t>
      </w:r>
      <w:r w:rsidR="00650A51">
        <w:rPr>
          <w:rFonts w:cs="Arial"/>
          <w:szCs w:val="18"/>
        </w:rPr>
        <w:t xml:space="preserve"> </w:t>
      </w:r>
      <w:r w:rsidR="00F21613">
        <w:rPr>
          <w:rFonts w:cs="Arial"/>
          <w:szCs w:val="18"/>
        </w:rPr>
        <w:t xml:space="preserve">The given reference number of the plotted lines are the respective reference number of the tables reported in the boundary flux handbook </w:t>
      </w:r>
      <w:r w:rsidR="00373155" w:rsidRPr="00373155">
        <w:t>(Stoller and Ochando-Pulido, 2014).</w:t>
      </w:r>
      <w:r w:rsidR="00E2658C">
        <w:rPr>
          <w:rFonts w:cs="Arial"/>
          <w:szCs w:val="18"/>
        </w:rPr>
        <w:t>It is possible to observe that the all the plots are similar in shape, characterized by a first part ranging from y50% to Y75% having higher angular coefficient when compared to the second one, from Y75% to Y90%.</w:t>
      </w:r>
      <w:r w:rsidR="00886C4C">
        <w:rPr>
          <w:rFonts w:cs="Arial"/>
          <w:szCs w:val="18"/>
        </w:rPr>
        <w:t xml:space="preserve"> </w:t>
      </w:r>
      <w:r w:rsidR="00E2658C">
        <w:rPr>
          <w:rFonts w:cs="Arial"/>
          <w:szCs w:val="18"/>
        </w:rPr>
        <w:t xml:space="preserve">As a consequence, the subsequent analysis to check for some influence of w and/or Jb will be divided in two parts, regarding the different relative Y </w:t>
      </w:r>
      <w:r w:rsidR="00E2658C" w:rsidRPr="005B01FF">
        <w:rPr>
          <w:rFonts w:cs="Arial"/>
          <w:szCs w:val="18"/>
        </w:rPr>
        <w:t>ranges</w:t>
      </w:r>
      <w:r w:rsidR="00E2658C">
        <w:rPr>
          <w:rFonts w:cs="Arial"/>
          <w:szCs w:val="18"/>
        </w:rPr>
        <w:t xml:space="preserve">. Concerning the first part, as ease of an example selected plots from UF and NF were reported in </w:t>
      </w:r>
      <w:r w:rsidR="00CC7488">
        <w:rPr>
          <w:rFonts w:cs="Arial"/>
          <w:szCs w:val="18"/>
        </w:rPr>
        <w:t>Figure2 and the relevant data in T</w:t>
      </w:r>
      <w:r w:rsidR="00E2658C">
        <w:rPr>
          <w:rFonts w:cs="Arial"/>
          <w:szCs w:val="18"/>
        </w:rPr>
        <w:t>able 1.</w:t>
      </w:r>
    </w:p>
    <w:p w:rsidR="00E2658C" w:rsidRDefault="000D19A0" w:rsidP="00886C4C">
      <w:pPr>
        <w:pStyle w:val="Paragrafoelenco"/>
        <w:ind w:left="0"/>
        <w:rPr>
          <w:rFonts w:cs="Arial"/>
          <w:szCs w:val="18"/>
        </w:rPr>
      </w:pPr>
      <w:r>
        <w:rPr>
          <w:noProof/>
          <w:lang w:val="it-IT" w:eastAsia="it-IT"/>
        </w:rPr>
        <w:drawing>
          <wp:inline distT="0" distB="0" distL="0" distR="0" wp14:anchorId="7684EAAD" wp14:editId="642BF8CA">
            <wp:extent cx="2765175" cy="207264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1103" cy="2077083"/>
                    </a:xfrm>
                    <a:prstGeom prst="rect">
                      <a:avLst/>
                    </a:prstGeom>
                  </pic:spPr>
                </pic:pic>
              </a:graphicData>
            </a:graphic>
          </wp:inline>
        </w:drawing>
      </w:r>
      <w:r w:rsidR="00E2658C">
        <w:rPr>
          <w:rFonts w:cs="Arial"/>
          <w:szCs w:val="18"/>
        </w:rPr>
        <w:t xml:space="preserve"> </w:t>
      </w:r>
      <w:r>
        <w:rPr>
          <w:noProof/>
          <w:lang w:val="it-IT" w:eastAsia="it-IT"/>
        </w:rPr>
        <w:drawing>
          <wp:inline distT="0" distB="0" distL="0" distR="0" wp14:anchorId="05F446A9" wp14:editId="07477CBE">
            <wp:extent cx="2705100" cy="202761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4079" cy="2034344"/>
                    </a:xfrm>
                    <a:prstGeom prst="rect">
                      <a:avLst/>
                    </a:prstGeom>
                  </pic:spPr>
                </pic:pic>
              </a:graphicData>
            </a:graphic>
          </wp:inline>
        </w:drawing>
      </w:r>
    </w:p>
    <w:p w:rsidR="000D19A0" w:rsidRDefault="000D19A0" w:rsidP="000D19A0">
      <w:pPr>
        <w:pStyle w:val="Paragrafoelenco"/>
        <w:ind w:left="0"/>
      </w:pPr>
      <w:r>
        <w:rPr>
          <w:noProof/>
          <w:lang w:val="it-IT" w:eastAsia="it-IT"/>
        </w:rPr>
        <w:drawing>
          <wp:inline distT="0" distB="0" distL="0" distR="0" wp14:anchorId="5C89331A" wp14:editId="167A617C">
            <wp:extent cx="2744838" cy="20574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9191" cy="2060663"/>
                    </a:xfrm>
                    <a:prstGeom prst="rect">
                      <a:avLst/>
                    </a:prstGeom>
                  </pic:spPr>
                </pic:pic>
              </a:graphicData>
            </a:graphic>
          </wp:inline>
        </w:drawing>
      </w:r>
    </w:p>
    <w:p w:rsidR="000D19A0" w:rsidRDefault="000D19A0" w:rsidP="00CC7488">
      <w:pPr>
        <w:pStyle w:val="CETCaption"/>
      </w:pPr>
      <w:r>
        <w:t>Figure 1: Membrane area requirement vs Y for different feed streams and MF, UF and NF</w:t>
      </w:r>
    </w:p>
    <w:p w:rsidR="00CC7488" w:rsidRDefault="00CC7488" w:rsidP="00CC7488">
      <w:pPr>
        <w:pStyle w:val="CETTabletitle"/>
      </w:pPr>
      <w:r>
        <w:lastRenderedPageBreak/>
        <w:t>Table 1: Relevant data of the selected plots in Figure 2</w:t>
      </w:r>
    </w:p>
    <w:p w:rsidR="00CC7488" w:rsidRDefault="00CC7488" w:rsidP="00CC7488">
      <w:pPr>
        <w:keepNext/>
        <w:keepLines/>
        <w:tabs>
          <w:tab w:val="clear" w:pos="7100"/>
        </w:tabs>
        <w:spacing w:line="240" w:lineRule="auto"/>
        <w:outlineLvl w:val="1"/>
        <w:rPr>
          <w:rFonts w:cs="Arial"/>
          <w:szCs w:val="18"/>
        </w:rPr>
      </w:pPr>
      <w:r>
        <w:rPr>
          <w:rFonts w:cs="Arial"/>
          <w:szCs w:val="18"/>
        </w:rPr>
        <w:t xml:space="preserve"> </w:t>
      </w:r>
    </w:p>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877"/>
        <w:gridCol w:w="1044"/>
        <w:gridCol w:w="878"/>
        <w:gridCol w:w="878"/>
        <w:gridCol w:w="878"/>
        <w:gridCol w:w="1044"/>
        <w:gridCol w:w="878"/>
      </w:tblGrid>
      <w:tr w:rsidR="00CC7488" w:rsidTr="00986237">
        <w:tc>
          <w:tcPr>
            <w:tcW w:w="3568" w:type="dxa"/>
            <w:gridSpan w:val="4"/>
            <w:tcBorders>
              <w:top w:val="single" w:sz="12" w:space="0" w:color="00B050"/>
              <w:bottom w:val="single" w:sz="12" w:space="0" w:color="FFFFFF" w:themeColor="background1"/>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UF</w:t>
            </w:r>
          </w:p>
        </w:tc>
        <w:tc>
          <w:tcPr>
            <w:tcW w:w="3678" w:type="dxa"/>
            <w:gridSpan w:val="4"/>
            <w:tcBorders>
              <w:top w:val="single" w:sz="12" w:space="0" w:color="00B050"/>
              <w:bottom w:val="single" w:sz="12" w:space="0" w:color="FFFFFF" w:themeColor="background1"/>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NF</w:t>
            </w:r>
          </w:p>
        </w:tc>
      </w:tr>
      <w:tr w:rsidR="00CC7488" w:rsidTr="00986237">
        <w:tc>
          <w:tcPr>
            <w:tcW w:w="769"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Plot ID</w:t>
            </w:r>
          </w:p>
        </w:tc>
        <w:tc>
          <w:tcPr>
            <w:tcW w:w="877"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bookmarkStart w:id="4" w:name="_Hlk528772522"/>
            <w:r>
              <w:rPr>
                <w:rFonts w:cs="Arial"/>
                <w:szCs w:val="18"/>
              </w:rPr>
              <w:t>ΔA/ΔY</w:t>
            </w:r>
            <w:bookmarkEnd w:id="4"/>
          </w:p>
        </w:tc>
        <w:tc>
          <w:tcPr>
            <w:tcW w:w="1044"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w</w:t>
            </w:r>
          </w:p>
          <w:p w:rsidR="00CC7488" w:rsidRDefault="00CC7488" w:rsidP="00986237">
            <w:pPr>
              <w:keepNext/>
              <w:keepLines/>
              <w:tabs>
                <w:tab w:val="clear" w:pos="7100"/>
              </w:tabs>
              <w:spacing w:line="240" w:lineRule="auto"/>
              <w:jc w:val="center"/>
              <w:outlineLvl w:val="1"/>
              <w:rPr>
                <w:rFonts w:cs="Arial"/>
                <w:szCs w:val="18"/>
              </w:rPr>
            </w:pPr>
            <w:r>
              <w:rPr>
                <w:rFonts w:cs="Arial"/>
                <w:szCs w:val="18"/>
              </w:rPr>
              <w:t>[L/hm</w:t>
            </w:r>
            <w:r>
              <w:rPr>
                <w:rFonts w:cs="Arial"/>
                <w:szCs w:val="18"/>
                <w:vertAlign w:val="superscript"/>
              </w:rPr>
              <w:t>2</w:t>
            </w:r>
            <w:r>
              <w:rPr>
                <w:rFonts w:cs="Arial"/>
                <w:szCs w:val="18"/>
              </w:rPr>
              <w:t>bar]</w:t>
            </w:r>
          </w:p>
        </w:tc>
        <w:tc>
          <w:tcPr>
            <w:tcW w:w="878"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J</w:t>
            </w:r>
            <w:r w:rsidRPr="00F65E20">
              <w:rPr>
                <w:rFonts w:cs="Arial"/>
                <w:szCs w:val="18"/>
                <w:vertAlign w:val="subscript"/>
              </w:rPr>
              <w:t>b</w:t>
            </w:r>
          </w:p>
          <w:p w:rsidR="00CC7488" w:rsidRDefault="00CC7488" w:rsidP="00986237">
            <w:pPr>
              <w:keepNext/>
              <w:keepLines/>
              <w:tabs>
                <w:tab w:val="clear" w:pos="7100"/>
              </w:tabs>
              <w:spacing w:line="240" w:lineRule="auto"/>
              <w:jc w:val="center"/>
              <w:outlineLvl w:val="1"/>
              <w:rPr>
                <w:rFonts w:cs="Arial"/>
                <w:szCs w:val="18"/>
              </w:rPr>
            </w:pPr>
            <w:r>
              <w:rPr>
                <w:rFonts w:cs="Arial"/>
                <w:szCs w:val="18"/>
              </w:rPr>
              <w:t>[L/hm</w:t>
            </w:r>
            <w:r>
              <w:rPr>
                <w:rFonts w:cs="Arial"/>
                <w:szCs w:val="18"/>
                <w:vertAlign w:val="superscript"/>
              </w:rPr>
              <w:t>2</w:t>
            </w:r>
            <w:r>
              <w:rPr>
                <w:rFonts w:cs="Arial"/>
                <w:szCs w:val="18"/>
              </w:rPr>
              <w:t>]</w:t>
            </w:r>
          </w:p>
        </w:tc>
        <w:tc>
          <w:tcPr>
            <w:tcW w:w="878"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Plot ID</w:t>
            </w:r>
          </w:p>
        </w:tc>
        <w:tc>
          <w:tcPr>
            <w:tcW w:w="878"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ΔA/ΔY</w:t>
            </w:r>
          </w:p>
        </w:tc>
        <w:tc>
          <w:tcPr>
            <w:tcW w:w="1044"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w</w:t>
            </w:r>
          </w:p>
          <w:p w:rsidR="00CC7488" w:rsidRDefault="00CC7488" w:rsidP="00986237">
            <w:pPr>
              <w:keepNext/>
              <w:keepLines/>
              <w:tabs>
                <w:tab w:val="clear" w:pos="7100"/>
              </w:tabs>
              <w:spacing w:line="240" w:lineRule="auto"/>
              <w:jc w:val="center"/>
              <w:outlineLvl w:val="1"/>
              <w:rPr>
                <w:rFonts w:cs="Arial"/>
                <w:szCs w:val="18"/>
              </w:rPr>
            </w:pPr>
            <w:r>
              <w:rPr>
                <w:rFonts w:cs="Arial"/>
                <w:szCs w:val="18"/>
              </w:rPr>
              <w:t>[L/hm</w:t>
            </w:r>
            <w:r>
              <w:rPr>
                <w:rFonts w:cs="Arial"/>
                <w:szCs w:val="18"/>
                <w:vertAlign w:val="superscript"/>
              </w:rPr>
              <w:t>2</w:t>
            </w:r>
            <w:r>
              <w:rPr>
                <w:rFonts w:cs="Arial"/>
                <w:szCs w:val="18"/>
              </w:rPr>
              <w:t>bar]</w:t>
            </w:r>
          </w:p>
        </w:tc>
        <w:tc>
          <w:tcPr>
            <w:tcW w:w="878"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J</w:t>
            </w:r>
            <w:r w:rsidRPr="00F65E20">
              <w:rPr>
                <w:rFonts w:cs="Arial"/>
                <w:szCs w:val="18"/>
                <w:vertAlign w:val="subscript"/>
              </w:rPr>
              <w:t>b</w:t>
            </w:r>
          </w:p>
          <w:p w:rsidR="00CC7488" w:rsidRDefault="00CC7488" w:rsidP="00986237">
            <w:pPr>
              <w:keepNext/>
              <w:keepLines/>
              <w:tabs>
                <w:tab w:val="clear" w:pos="7100"/>
              </w:tabs>
              <w:spacing w:line="240" w:lineRule="auto"/>
              <w:jc w:val="center"/>
              <w:outlineLvl w:val="1"/>
              <w:rPr>
                <w:rFonts w:cs="Arial"/>
                <w:szCs w:val="18"/>
              </w:rPr>
            </w:pPr>
            <w:r>
              <w:rPr>
                <w:rFonts w:cs="Arial"/>
                <w:szCs w:val="18"/>
              </w:rPr>
              <w:t>[L/hm</w:t>
            </w:r>
            <w:r>
              <w:rPr>
                <w:rFonts w:cs="Arial"/>
                <w:szCs w:val="18"/>
                <w:vertAlign w:val="superscript"/>
              </w:rPr>
              <w:t>2</w:t>
            </w:r>
            <w:r>
              <w:rPr>
                <w:rFonts w:cs="Arial"/>
                <w:szCs w:val="18"/>
              </w:rPr>
              <w:t>]</w:t>
            </w:r>
          </w:p>
        </w:tc>
      </w:tr>
      <w:tr w:rsidR="00CC7488" w:rsidTr="00986237">
        <w:tc>
          <w:tcPr>
            <w:tcW w:w="769"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7.46</w:t>
            </w:r>
          </w:p>
        </w:tc>
        <w:tc>
          <w:tcPr>
            <w:tcW w:w="877"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0.78</w:t>
            </w:r>
          </w:p>
        </w:tc>
        <w:tc>
          <w:tcPr>
            <w:tcW w:w="1044"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72.0</w:t>
            </w:r>
          </w:p>
        </w:tc>
        <w:tc>
          <w:tcPr>
            <w:tcW w:w="878"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25.0</w:t>
            </w:r>
          </w:p>
        </w:tc>
        <w:tc>
          <w:tcPr>
            <w:tcW w:w="878"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7.2.1</w:t>
            </w:r>
          </w:p>
        </w:tc>
        <w:tc>
          <w:tcPr>
            <w:tcW w:w="878"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0.27</w:t>
            </w:r>
          </w:p>
        </w:tc>
        <w:tc>
          <w:tcPr>
            <w:tcW w:w="1044"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15.3</w:t>
            </w:r>
          </w:p>
        </w:tc>
        <w:tc>
          <w:tcPr>
            <w:tcW w:w="878"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84.0</w:t>
            </w:r>
          </w:p>
        </w:tc>
      </w:tr>
      <w:tr w:rsidR="00CC7488" w:rsidTr="00986237">
        <w:tc>
          <w:tcPr>
            <w:tcW w:w="769"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7.61.1</w:t>
            </w:r>
          </w:p>
        </w:tc>
        <w:tc>
          <w:tcPr>
            <w:tcW w:w="877"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1.64</w:t>
            </w:r>
          </w:p>
        </w:tc>
        <w:tc>
          <w:tcPr>
            <w:tcW w:w="1044"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5.2</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8.2</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7.2.2</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0.40</w:t>
            </w:r>
          </w:p>
        </w:tc>
        <w:tc>
          <w:tcPr>
            <w:tcW w:w="1044"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14.3</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45.0</w:t>
            </w:r>
          </w:p>
        </w:tc>
      </w:tr>
      <w:tr w:rsidR="00CC7488" w:rsidTr="00986237">
        <w:tc>
          <w:tcPr>
            <w:tcW w:w="769"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7.61.2</w:t>
            </w:r>
          </w:p>
        </w:tc>
        <w:tc>
          <w:tcPr>
            <w:tcW w:w="877"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1.48</w:t>
            </w:r>
          </w:p>
        </w:tc>
        <w:tc>
          <w:tcPr>
            <w:tcW w:w="1044"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5.2</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10.0</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7.5.1</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0.33</w:t>
            </w:r>
          </w:p>
        </w:tc>
        <w:tc>
          <w:tcPr>
            <w:tcW w:w="1044"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9.8</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35.6</w:t>
            </w:r>
          </w:p>
        </w:tc>
      </w:tr>
      <w:tr w:rsidR="00CC7488" w:rsidTr="00986237">
        <w:tc>
          <w:tcPr>
            <w:tcW w:w="769"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7.82</w:t>
            </w:r>
          </w:p>
        </w:tc>
        <w:tc>
          <w:tcPr>
            <w:tcW w:w="877"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0.26</w:t>
            </w:r>
          </w:p>
        </w:tc>
        <w:tc>
          <w:tcPr>
            <w:tcW w:w="1044"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234.8</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84.6</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7.61.1</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1.42</w:t>
            </w:r>
          </w:p>
        </w:tc>
        <w:tc>
          <w:tcPr>
            <w:tcW w:w="1044"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2.5</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11.8</w:t>
            </w:r>
          </w:p>
        </w:tc>
      </w:tr>
      <w:tr w:rsidR="00CC7488" w:rsidTr="00986237">
        <w:tc>
          <w:tcPr>
            <w:tcW w:w="769"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p>
        </w:tc>
        <w:tc>
          <w:tcPr>
            <w:tcW w:w="877"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p>
        </w:tc>
        <w:tc>
          <w:tcPr>
            <w:tcW w:w="1044"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p>
        </w:tc>
        <w:tc>
          <w:tcPr>
            <w:tcW w:w="878"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p>
        </w:tc>
        <w:tc>
          <w:tcPr>
            <w:tcW w:w="878"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7.61.2</w:t>
            </w:r>
          </w:p>
        </w:tc>
        <w:tc>
          <w:tcPr>
            <w:tcW w:w="878"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1.14</w:t>
            </w:r>
          </w:p>
        </w:tc>
        <w:tc>
          <w:tcPr>
            <w:tcW w:w="1044"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2.5</w:t>
            </w:r>
          </w:p>
        </w:tc>
        <w:tc>
          <w:tcPr>
            <w:tcW w:w="878"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14.3</w:t>
            </w:r>
          </w:p>
        </w:tc>
      </w:tr>
    </w:tbl>
    <w:p w:rsidR="00CC7488" w:rsidRDefault="00CC7488" w:rsidP="00CC7488">
      <w:pPr>
        <w:keepNext/>
        <w:keepLines/>
        <w:tabs>
          <w:tab w:val="clear" w:pos="7100"/>
        </w:tabs>
        <w:spacing w:line="240" w:lineRule="auto"/>
        <w:jc w:val="center"/>
        <w:outlineLvl w:val="1"/>
        <w:rPr>
          <w:rFonts w:cs="Arial"/>
          <w:szCs w:val="18"/>
        </w:rPr>
      </w:pPr>
      <w:r>
        <w:rPr>
          <w:noProof/>
          <w:lang w:val="it-IT" w:eastAsia="it-IT"/>
        </w:rPr>
        <w:drawing>
          <wp:inline distT="0" distB="0" distL="0" distR="0" wp14:anchorId="6FFAA13E" wp14:editId="7D08C77F">
            <wp:extent cx="2647896" cy="1980000"/>
            <wp:effectExtent l="0" t="0" r="635"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47896" cy="1980000"/>
                    </a:xfrm>
                    <a:prstGeom prst="rect">
                      <a:avLst/>
                    </a:prstGeom>
                  </pic:spPr>
                </pic:pic>
              </a:graphicData>
            </a:graphic>
          </wp:inline>
        </w:drawing>
      </w:r>
      <w:r>
        <w:rPr>
          <w:noProof/>
          <w:lang w:val="it-IT" w:eastAsia="it-IT"/>
        </w:rPr>
        <w:drawing>
          <wp:inline distT="0" distB="0" distL="0" distR="0" wp14:anchorId="54DA5CA1" wp14:editId="58207251">
            <wp:extent cx="2641573" cy="1980000"/>
            <wp:effectExtent l="0" t="0" r="6985"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1573" cy="1980000"/>
                    </a:xfrm>
                    <a:prstGeom prst="rect">
                      <a:avLst/>
                    </a:prstGeom>
                  </pic:spPr>
                </pic:pic>
              </a:graphicData>
            </a:graphic>
          </wp:inline>
        </w:drawing>
      </w:r>
    </w:p>
    <w:p w:rsidR="00CC7488" w:rsidRDefault="00CC7488" w:rsidP="00CC7488">
      <w:pPr>
        <w:pStyle w:val="CETCaption"/>
      </w:pPr>
      <w:r>
        <w:t>Figure 2: Selected plots from Figure1, UF (left) and NF (right), respectively</w:t>
      </w:r>
    </w:p>
    <w:p w:rsidR="00CC7488" w:rsidRDefault="00CC7488" w:rsidP="00CC7488">
      <w:pPr>
        <w:keepNext/>
        <w:keepLines/>
        <w:tabs>
          <w:tab w:val="clear" w:pos="7100"/>
        </w:tabs>
        <w:spacing w:line="240" w:lineRule="auto"/>
        <w:jc w:val="center"/>
        <w:outlineLvl w:val="1"/>
        <w:rPr>
          <w:rFonts w:cs="Arial"/>
          <w:szCs w:val="18"/>
        </w:rPr>
      </w:pPr>
      <w:r>
        <w:rPr>
          <w:noProof/>
          <w:lang w:val="it-IT" w:eastAsia="it-IT"/>
        </w:rPr>
        <w:drawing>
          <wp:inline distT="0" distB="0" distL="0" distR="0" wp14:anchorId="6FCE617E" wp14:editId="5B7F1755">
            <wp:extent cx="2647895" cy="1980000"/>
            <wp:effectExtent l="0" t="0" r="635" b="127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7895" cy="1980000"/>
                    </a:xfrm>
                    <a:prstGeom prst="rect">
                      <a:avLst/>
                    </a:prstGeom>
                  </pic:spPr>
                </pic:pic>
              </a:graphicData>
            </a:graphic>
          </wp:inline>
        </w:drawing>
      </w:r>
      <w:r>
        <w:rPr>
          <w:noProof/>
          <w:lang w:val="it-IT" w:eastAsia="it-IT"/>
        </w:rPr>
        <w:drawing>
          <wp:inline distT="0" distB="0" distL="0" distR="0" wp14:anchorId="35AEFBC2" wp14:editId="14FD2030">
            <wp:extent cx="2647895" cy="1980000"/>
            <wp:effectExtent l="0" t="0" r="635" b="127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7895" cy="1980000"/>
                    </a:xfrm>
                    <a:prstGeom prst="rect">
                      <a:avLst/>
                    </a:prstGeom>
                  </pic:spPr>
                </pic:pic>
              </a:graphicData>
            </a:graphic>
          </wp:inline>
        </w:drawing>
      </w:r>
    </w:p>
    <w:p w:rsidR="00CC7488" w:rsidRDefault="00CC7488" w:rsidP="00CC7488">
      <w:pPr>
        <w:keepNext/>
        <w:keepLines/>
        <w:tabs>
          <w:tab w:val="clear" w:pos="7100"/>
        </w:tabs>
        <w:spacing w:line="240" w:lineRule="auto"/>
        <w:outlineLvl w:val="1"/>
        <w:rPr>
          <w:rFonts w:cs="Arial"/>
          <w:szCs w:val="18"/>
        </w:rPr>
      </w:pPr>
    </w:p>
    <w:p w:rsidR="00CC7488" w:rsidRDefault="00CC7488" w:rsidP="00CC7488">
      <w:pPr>
        <w:pStyle w:val="CETCaption"/>
      </w:pPr>
      <w:r>
        <w:t>Figure 3: Selected plots from Figure1, UF (left) and NF (right), respectively</w:t>
      </w:r>
    </w:p>
    <w:p w:rsidR="00CC7488" w:rsidRDefault="00CC7488" w:rsidP="00CC7488">
      <w:pPr>
        <w:pStyle w:val="CETTabletitle"/>
      </w:pPr>
      <w:r>
        <w:t>Table 2: Relevant data of the selected plots in Figure3</w:t>
      </w:r>
    </w:p>
    <w:p w:rsidR="00CC7488" w:rsidRDefault="00CC7488" w:rsidP="00CC7488">
      <w:pPr>
        <w:keepNext/>
        <w:keepLines/>
        <w:tabs>
          <w:tab w:val="clear" w:pos="7100"/>
        </w:tabs>
        <w:spacing w:line="240" w:lineRule="auto"/>
        <w:outlineLvl w:val="1"/>
        <w:rPr>
          <w:rFonts w:cs="Arial"/>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
        <w:gridCol w:w="877"/>
        <w:gridCol w:w="1044"/>
        <w:gridCol w:w="878"/>
        <w:gridCol w:w="878"/>
        <w:gridCol w:w="878"/>
        <w:gridCol w:w="1044"/>
        <w:gridCol w:w="878"/>
      </w:tblGrid>
      <w:tr w:rsidR="00CC7488" w:rsidTr="00CC7488">
        <w:tc>
          <w:tcPr>
            <w:tcW w:w="3676" w:type="dxa"/>
            <w:gridSpan w:val="4"/>
            <w:tcBorders>
              <w:top w:val="single" w:sz="12" w:space="0" w:color="00B050"/>
              <w:bottom w:val="single" w:sz="12" w:space="0" w:color="FFFFFF" w:themeColor="background1"/>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UF</w:t>
            </w:r>
          </w:p>
        </w:tc>
        <w:tc>
          <w:tcPr>
            <w:tcW w:w="3678" w:type="dxa"/>
            <w:gridSpan w:val="4"/>
            <w:tcBorders>
              <w:top w:val="single" w:sz="12" w:space="0" w:color="00B050"/>
              <w:bottom w:val="single" w:sz="12" w:space="0" w:color="FFFFFF" w:themeColor="background1"/>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NF</w:t>
            </w:r>
          </w:p>
        </w:tc>
      </w:tr>
      <w:tr w:rsidR="00CC7488" w:rsidTr="00CC7488">
        <w:tc>
          <w:tcPr>
            <w:tcW w:w="877"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Plot ID</w:t>
            </w:r>
          </w:p>
        </w:tc>
        <w:tc>
          <w:tcPr>
            <w:tcW w:w="877"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ΔA/ΔY</w:t>
            </w:r>
          </w:p>
        </w:tc>
        <w:tc>
          <w:tcPr>
            <w:tcW w:w="1044"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w</w:t>
            </w:r>
          </w:p>
          <w:p w:rsidR="00CC7488" w:rsidRDefault="00CC7488" w:rsidP="00986237">
            <w:pPr>
              <w:keepNext/>
              <w:keepLines/>
              <w:tabs>
                <w:tab w:val="clear" w:pos="7100"/>
              </w:tabs>
              <w:spacing w:line="240" w:lineRule="auto"/>
              <w:jc w:val="center"/>
              <w:outlineLvl w:val="1"/>
              <w:rPr>
                <w:rFonts w:cs="Arial"/>
                <w:szCs w:val="18"/>
              </w:rPr>
            </w:pPr>
            <w:r>
              <w:rPr>
                <w:rFonts w:cs="Arial"/>
                <w:szCs w:val="18"/>
              </w:rPr>
              <w:t>[L/hm</w:t>
            </w:r>
            <w:r>
              <w:rPr>
                <w:rFonts w:cs="Arial"/>
                <w:szCs w:val="18"/>
                <w:vertAlign w:val="superscript"/>
              </w:rPr>
              <w:t>2</w:t>
            </w:r>
            <w:r>
              <w:rPr>
                <w:rFonts w:cs="Arial"/>
                <w:szCs w:val="18"/>
              </w:rPr>
              <w:t>bar]</w:t>
            </w:r>
          </w:p>
        </w:tc>
        <w:tc>
          <w:tcPr>
            <w:tcW w:w="878"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J</w:t>
            </w:r>
            <w:r w:rsidRPr="00F65E20">
              <w:rPr>
                <w:rFonts w:cs="Arial"/>
                <w:szCs w:val="18"/>
                <w:vertAlign w:val="subscript"/>
              </w:rPr>
              <w:t>b</w:t>
            </w:r>
          </w:p>
          <w:p w:rsidR="00CC7488" w:rsidRDefault="00CC7488" w:rsidP="00986237">
            <w:pPr>
              <w:keepNext/>
              <w:keepLines/>
              <w:tabs>
                <w:tab w:val="clear" w:pos="7100"/>
              </w:tabs>
              <w:spacing w:line="240" w:lineRule="auto"/>
              <w:jc w:val="center"/>
              <w:outlineLvl w:val="1"/>
              <w:rPr>
                <w:rFonts w:cs="Arial"/>
                <w:szCs w:val="18"/>
              </w:rPr>
            </w:pPr>
            <w:r>
              <w:rPr>
                <w:rFonts w:cs="Arial"/>
                <w:szCs w:val="18"/>
              </w:rPr>
              <w:t>[L/hm</w:t>
            </w:r>
            <w:r>
              <w:rPr>
                <w:rFonts w:cs="Arial"/>
                <w:szCs w:val="18"/>
                <w:vertAlign w:val="superscript"/>
              </w:rPr>
              <w:t>2</w:t>
            </w:r>
            <w:r>
              <w:rPr>
                <w:rFonts w:cs="Arial"/>
                <w:szCs w:val="18"/>
              </w:rPr>
              <w:t>]</w:t>
            </w:r>
          </w:p>
        </w:tc>
        <w:tc>
          <w:tcPr>
            <w:tcW w:w="878"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Plot ID</w:t>
            </w:r>
          </w:p>
        </w:tc>
        <w:tc>
          <w:tcPr>
            <w:tcW w:w="878"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ΔA/ΔY</w:t>
            </w:r>
          </w:p>
        </w:tc>
        <w:tc>
          <w:tcPr>
            <w:tcW w:w="1044"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w</w:t>
            </w:r>
          </w:p>
          <w:p w:rsidR="00CC7488" w:rsidRDefault="00CC7488" w:rsidP="00986237">
            <w:pPr>
              <w:keepNext/>
              <w:keepLines/>
              <w:tabs>
                <w:tab w:val="clear" w:pos="7100"/>
              </w:tabs>
              <w:spacing w:line="240" w:lineRule="auto"/>
              <w:jc w:val="center"/>
              <w:outlineLvl w:val="1"/>
              <w:rPr>
                <w:rFonts w:cs="Arial"/>
                <w:szCs w:val="18"/>
              </w:rPr>
            </w:pPr>
            <w:r>
              <w:rPr>
                <w:rFonts w:cs="Arial"/>
                <w:szCs w:val="18"/>
              </w:rPr>
              <w:t>[L/hm</w:t>
            </w:r>
            <w:r>
              <w:rPr>
                <w:rFonts w:cs="Arial"/>
                <w:szCs w:val="18"/>
                <w:vertAlign w:val="superscript"/>
              </w:rPr>
              <w:t>2</w:t>
            </w:r>
            <w:r>
              <w:rPr>
                <w:rFonts w:cs="Arial"/>
                <w:szCs w:val="18"/>
              </w:rPr>
              <w:t>bar]</w:t>
            </w:r>
          </w:p>
        </w:tc>
        <w:tc>
          <w:tcPr>
            <w:tcW w:w="878" w:type="dxa"/>
            <w:tcBorders>
              <w:top w:val="single" w:sz="12" w:space="0" w:color="FFFFFF" w:themeColor="background1"/>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J</w:t>
            </w:r>
            <w:r w:rsidRPr="00F65E20">
              <w:rPr>
                <w:rFonts w:cs="Arial"/>
                <w:szCs w:val="18"/>
                <w:vertAlign w:val="subscript"/>
              </w:rPr>
              <w:t>b</w:t>
            </w:r>
          </w:p>
          <w:p w:rsidR="00CC7488" w:rsidRDefault="00CC7488" w:rsidP="00986237">
            <w:pPr>
              <w:keepNext/>
              <w:keepLines/>
              <w:tabs>
                <w:tab w:val="clear" w:pos="7100"/>
              </w:tabs>
              <w:spacing w:line="240" w:lineRule="auto"/>
              <w:jc w:val="center"/>
              <w:outlineLvl w:val="1"/>
              <w:rPr>
                <w:rFonts w:cs="Arial"/>
                <w:szCs w:val="18"/>
              </w:rPr>
            </w:pPr>
            <w:r>
              <w:rPr>
                <w:rFonts w:cs="Arial"/>
                <w:szCs w:val="18"/>
              </w:rPr>
              <w:t>[L/hm</w:t>
            </w:r>
            <w:r>
              <w:rPr>
                <w:rFonts w:cs="Arial"/>
                <w:szCs w:val="18"/>
                <w:vertAlign w:val="superscript"/>
              </w:rPr>
              <w:t>2</w:t>
            </w:r>
            <w:r>
              <w:rPr>
                <w:rFonts w:cs="Arial"/>
                <w:szCs w:val="18"/>
              </w:rPr>
              <w:t>]</w:t>
            </w:r>
          </w:p>
        </w:tc>
      </w:tr>
      <w:tr w:rsidR="00CC7488" w:rsidTr="00CC7488">
        <w:tc>
          <w:tcPr>
            <w:tcW w:w="877"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7.56.1</w:t>
            </w:r>
          </w:p>
        </w:tc>
        <w:tc>
          <w:tcPr>
            <w:tcW w:w="877"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1.20</w:t>
            </w:r>
          </w:p>
        </w:tc>
        <w:tc>
          <w:tcPr>
            <w:tcW w:w="1044"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65.0</w:t>
            </w:r>
          </w:p>
        </w:tc>
        <w:tc>
          <w:tcPr>
            <w:tcW w:w="878"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44.6</w:t>
            </w:r>
          </w:p>
        </w:tc>
        <w:tc>
          <w:tcPr>
            <w:tcW w:w="878"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7.2.1</w:t>
            </w:r>
          </w:p>
        </w:tc>
        <w:tc>
          <w:tcPr>
            <w:tcW w:w="878"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0.93</w:t>
            </w:r>
          </w:p>
        </w:tc>
        <w:tc>
          <w:tcPr>
            <w:tcW w:w="1044"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15.3</w:t>
            </w:r>
          </w:p>
        </w:tc>
        <w:tc>
          <w:tcPr>
            <w:tcW w:w="878" w:type="dxa"/>
            <w:tcBorders>
              <w:top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84.0</w:t>
            </w:r>
          </w:p>
        </w:tc>
      </w:tr>
      <w:tr w:rsidR="00CC7488" w:rsidTr="00CC7488">
        <w:tc>
          <w:tcPr>
            <w:tcW w:w="877"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7.56.2</w:t>
            </w:r>
          </w:p>
        </w:tc>
        <w:tc>
          <w:tcPr>
            <w:tcW w:w="877"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0.73</w:t>
            </w:r>
          </w:p>
        </w:tc>
        <w:tc>
          <w:tcPr>
            <w:tcW w:w="1044"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16.0</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8.3</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7.2.2</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1.67</w:t>
            </w:r>
          </w:p>
        </w:tc>
        <w:tc>
          <w:tcPr>
            <w:tcW w:w="1044"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14.3</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45.0</w:t>
            </w:r>
          </w:p>
        </w:tc>
      </w:tr>
      <w:tr w:rsidR="00CC7488" w:rsidTr="00CC7488">
        <w:tc>
          <w:tcPr>
            <w:tcW w:w="877"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7.82</w:t>
            </w:r>
          </w:p>
        </w:tc>
        <w:tc>
          <w:tcPr>
            <w:tcW w:w="877"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0.87</w:t>
            </w:r>
          </w:p>
        </w:tc>
        <w:tc>
          <w:tcPr>
            <w:tcW w:w="1044"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234.8</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84.6</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7.5.1</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1.41</w:t>
            </w:r>
          </w:p>
        </w:tc>
        <w:tc>
          <w:tcPr>
            <w:tcW w:w="1044"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9.8</w:t>
            </w:r>
          </w:p>
        </w:tc>
        <w:tc>
          <w:tcPr>
            <w:tcW w:w="878" w:type="dxa"/>
          </w:tcPr>
          <w:p w:rsidR="00CC7488" w:rsidRDefault="00CC7488" w:rsidP="00986237">
            <w:pPr>
              <w:keepNext/>
              <w:keepLines/>
              <w:tabs>
                <w:tab w:val="clear" w:pos="7100"/>
              </w:tabs>
              <w:spacing w:line="240" w:lineRule="auto"/>
              <w:jc w:val="center"/>
              <w:outlineLvl w:val="1"/>
              <w:rPr>
                <w:rFonts w:cs="Arial"/>
                <w:szCs w:val="18"/>
              </w:rPr>
            </w:pPr>
            <w:r>
              <w:rPr>
                <w:rFonts w:cs="Arial"/>
                <w:szCs w:val="18"/>
              </w:rPr>
              <w:t>35.6</w:t>
            </w:r>
          </w:p>
        </w:tc>
      </w:tr>
      <w:tr w:rsidR="00CC7488" w:rsidTr="00CC7488">
        <w:tc>
          <w:tcPr>
            <w:tcW w:w="877"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p>
        </w:tc>
        <w:tc>
          <w:tcPr>
            <w:tcW w:w="877"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p>
        </w:tc>
        <w:tc>
          <w:tcPr>
            <w:tcW w:w="1044"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p>
        </w:tc>
        <w:tc>
          <w:tcPr>
            <w:tcW w:w="878"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p>
        </w:tc>
        <w:tc>
          <w:tcPr>
            <w:tcW w:w="878"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7.5.3</w:t>
            </w:r>
          </w:p>
        </w:tc>
        <w:tc>
          <w:tcPr>
            <w:tcW w:w="878"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1.40</w:t>
            </w:r>
          </w:p>
        </w:tc>
        <w:tc>
          <w:tcPr>
            <w:tcW w:w="1044"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14.3</w:t>
            </w:r>
          </w:p>
        </w:tc>
        <w:tc>
          <w:tcPr>
            <w:tcW w:w="878" w:type="dxa"/>
            <w:tcBorders>
              <w:bottom w:val="single" w:sz="12" w:space="0" w:color="00B050"/>
            </w:tcBorders>
          </w:tcPr>
          <w:p w:rsidR="00CC7488" w:rsidRDefault="00CC7488" w:rsidP="00986237">
            <w:pPr>
              <w:keepNext/>
              <w:keepLines/>
              <w:tabs>
                <w:tab w:val="clear" w:pos="7100"/>
              </w:tabs>
              <w:spacing w:line="240" w:lineRule="auto"/>
              <w:jc w:val="center"/>
              <w:outlineLvl w:val="1"/>
              <w:rPr>
                <w:rFonts w:cs="Arial"/>
                <w:szCs w:val="18"/>
              </w:rPr>
            </w:pPr>
            <w:r>
              <w:rPr>
                <w:rFonts w:cs="Arial"/>
                <w:szCs w:val="18"/>
              </w:rPr>
              <w:t>81.3</w:t>
            </w:r>
          </w:p>
        </w:tc>
      </w:tr>
    </w:tbl>
    <w:p w:rsidR="00CC7488" w:rsidRDefault="00CC7488" w:rsidP="00CC7488">
      <w:pPr>
        <w:pStyle w:val="Testo"/>
        <w:spacing w:after="0" w:line="264" w:lineRule="auto"/>
        <w:rPr>
          <w:lang w:val="en-GB"/>
        </w:rPr>
      </w:pPr>
      <w:bookmarkStart w:id="5" w:name="_Hlk528772694"/>
      <w:r>
        <w:rPr>
          <w:lang w:val="en-GB"/>
        </w:rPr>
        <w:br/>
        <w:t>From T</w:t>
      </w:r>
      <w:r w:rsidRPr="0031398E">
        <w:rPr>
          <w:lang w:val="en-GB"/>
        </w:rPr>
        <w:t xml:space="preserve">able 1 it is </w:t>
      </w:r>
      <w:r>
        <w:rPr>
          <w:lang w:val="en-GB"/>
        </w:rPr>
        <w:t xml:space="preserve">possible to observe that for both membrane classes there is a relationship between </w:t>
      </w:r>
      <w:r w:rsidRPr="0031398E">
        <w:rPr>
          <w:lang w:val="en-GB"/>
        </w:rPr>
        <w:t>ΔA/ΔY</w:t>
      </w:r>
      <w:r>
        <w:rPr>
          <w:lang w:val="en-GB"/>
        </w:rPr>
        <w:t xml:space="preserve"> and w, whereas none can be observed towards J</w:t>
      </w:r>
      <w:r w:rsidRPr="00F65E20">
        <w:rPr>
          <w:vertAlign w:val="subscript"/>
          <w:lang w:val="en-GB"/>
        </w:rPr>
        <w:t>b</w:t>
      </w:r>
      <w:r>
        <w:rPr>
          <w:lang w:val="en-GB"/>
        </w:rPr>
        <w:t xml:space="preserve">. </w:t>
      </w:r>
      <w:r w:rsidRPr="0031398E">
        <w:rPr>
          <w:lang w:val="en-GB"/>
        </w:rPr>
        <w:t>The same property was confirmed for MF, too.</w:t>
      </w:r>
      <w:r w:rsidRPr="00484F58">
        <w:rPr>
          <w:lang w:val="en-GB"/>
        </w:rPr>
        <w:t xml:space="preserve"> </w:t>
      </w:r>
      <w:bookmarkEnd w:id="5"/>
    </w:p>
    <w:p w:rsidR="00CC7488" w:rsidRDefault="00CC7488" w:rsidP="00CC7488">
      <w:pPr>
        <w:pStyle w:val="Testo"/>
        <w:spacing w:after="0" w:line="264" w:lineRule="auto"/>
        <w:rPr>
          <w:lang w:val="en-GB"/>
        </w:rPr>
      </w:pPr>
      <w:r w:rsidRPr="00E2658C">
        <w:rPr>
          <w:lang w:val="en-GB"/>
        </w:rPr>
        <w:t xml:space="preserve">Concerning the second part, as ease of an example selected plots from UF and NF were reported in </w:t>
      </w:r>
      <w:r>
        <w:rPr>
          <w:lang w:val="en-GB"/>
        </w:rPr>
        <w:t>Figure</w:t>
      </w:r>
      <w:r w:rsidRPr="00E2658C">
        <w:rPr>
          <w:lang w:val="en-GB"/>
        </w:rPr>
        <w:t xml:space="preserve">3 and the relevant data in Table 2. </w:t>
      </w:r>
    </w:p>
    <w:p w:rsidR="00CC7488" w:rsidRPr="00D2486A" w:rsidRDefault="00CC7488" w:rsidP="00CC7488">
      <w:pPr>
        <w:pStyle w:val="Testo"/>
        <w:spacing w:after="0" w:line="264" w:lineRule="auto"/>
        <w:rPr>
          <w:lang w:val="en-GB"/>
        </w:rPr>
      </w:pPr>
      <w:r>
        <w:rPr>
          <w:lang w:val="en-GB"/>
        </w:rPr>
        <w:lastRenderedPageBreak/>
        <w:t>From T</w:t>
      </w:r>
      <w:r w:rsidRPr="0031398E">
        <w:rPr>
          <w:lang w:val="en-GB"/>
        </w:rPr>
        <w:t xml:space="preserve">able </w:t>
      </w:r>
      <w:r>
        <w:rPr>
          <w:lang w:val="en-GB"/>
        </w:rPr>
        <w:t>2</w:t>
      </w:r>
      <w:r w:rsidRPr="0031398E">
        <w:rPr>
          <w:lang w:val="en-GB"/>
        </w:rPr>
        <w:t xml:space="preserve"> it is </w:t>
      </w:r>
      <w:r>
        <w:rPr>
          <w:lang w:val="en-GB"/>
        </w:rPr>
        <w:t xml:space="preserve">possible to observe that for both membrane classes there is a relationship between </w:t>
      </w:r>
      <w:r w:rsidRPr="0031398E">
        <w:rPr>
          <w:lang w:val="en-GB"/>
        </w:rPr>
        <w:t>ΔA/ΔY</w:t>
      </w:r>
      <w:r>
        <w:rPr>
          <w:lang w:val="en-GB"/>
        </w:rPr>
        <w:t xml:space="preserve"> and J</w:t>
      </w:r>
      <w:r w:rsidRPr="00F65E20">
        <w:rPr>
          <w:vertAlign w:val="subscript"/>
          <w:lang w:val="en-GB"/>
        </w:rPr>
        <w:t>b</w:t>
      </w:r>
      <w:r>
        <w:rPr>
          <w:lang w:val="en-GB"/>
        </w:rPr>
        <w:t xml:space="preserve">, whereas none can be observed towards w. </w:t>
      </w:r>
      <w:r w:rsidRPr="0031398E">
        <w:rPr>
          <w:lang w:val="en-GB"/>
        </w:rPr>
        <w:t>The same property was confirmed for MF, too.</w:t>
      </w:r>
      <w:r w:rsidRPr="00D2486A">
        <w:rPr>
          <w:lang w:val="en-GB"/>
        </w:rPr>
        <w:t xml:space="preserve"> </w:t>
      </w:r>
    </w:p>
    <w:p w:rsidR="00CC7488" w:rsidRPr="00B63136" w:rsidRDefault="00CC7488" w:rsidP="00CC7488">
      <w:pPr>
        <w:keepNext/>
        <w:keepLines/>
        <w:tabs>
          <w:tab w:val="clear" w:pos="7100"/>
        </w:tabs>
        <w:outlineLvl w:val="1"/>
        <w:rPr>
          <w:rFonts w:cs="Arial"/>
          <w:szCs w:val="18"/>
        </w:rPr>
      </w:pPr>
      <w:r w:rsidRPr="00B63136">
        <w:rPr>
          <w:rFonts w:cs="Arial"/>
          <w:szCs w:val="18"/>
        </w:rPr>
        <w:t>The obtained results show that no particular attention must be given to fouling issues in those systems that are not strongly pushed in terms of recovery. For instance, for systems characterized by a VRF below 4, fouling issues can be neglected during process design. This is not the case for all other systems where VRF&gt;4. In this case, the minimization of the membrane area requirements requires a careful evaluation and maximization of the relevant J</w:t>
      </w:r>
      <w:r w:rsidRPr="00F65E20">
        <w:rPr>
          <w:rFonts w:cs="Arial"/>
          <w:szCs w:val="18"/>
          <w:vertAlign w:val="subscript"/>
        </w:rPr>
        <w:t>b</w:t>
      </w:r>
      <w:r w:rsidRPr="00B63136">
        <w:rPr>
          <w:rFonts w:cs="Arial"/>
          <w:szCs w:val="18"/>
        </w:rPr>
        <w:t xml:space="preserve"> value. Since the boundary flux value depends on many parameters, it appears to be profitable to achieve proper choice of operating conditions and pre-treatment steps to maximize J</w:t>
      </w:r>
      <w:r w:rsidRPr="00F65E20">
        <w:rPr>
          <w:rFonts w:cs="Arial"/>
          <w:szCs w:val="18"/>
          <w:vertAlign w:val="subscript"/>
        </w:rPr>
        <w:t>b</w:t>
      </w:r>
      <w:r w:rsidRPr="00B63136">
        <w:rPr>
          <w:rFonts w:cs="Arial"/>
          <w:szCs w:val="18"/>
        </w:rPr>
        <w:t xml:space="preserve">. </w:t>
      </w:r>
    </w:p>
    <w:p w:rsidR="00F12785" w:rsidRDefault="00F12785" w:rsidP="00F12785">
      <w:pPr>
        <w:pStyle w:val="CETHeading1"/>
      </w:pPr>
      <w:r>
        <w:t xml:space="preserve">Conclusions </w:t>
      </w:r>
    </w:p>
    <w:p w:rsidR="00F12785" w:rsidRDefault="00F12785" w:rsidP="00F12785">
      <w:pPr>
        <w:tabs>
          <w:tab w:val="clear" w:pos="7100"/>
        </w:tabs>
        <w:spacing w:line="259" w:lineRule="auto"/>
      </w:pPr>
      <w:r>
        <w:t>This study wanted to exploit strong relationships existing between membrane area requirements and specific parameters in presence of membrane fouling, in order to aid optimized membrane process design.</w:t>
      </w:r>
    </w:p>
    <w:p w:rsidR="00F12785" w:rsidRDefault="00F12785" w:rsidP="00F12785">
      <w:pPr>
        <w:tabs>
          <w:tab w:val="clear" w:pos="7100"/>
        </w:tabs>
        <w:spacing w:line="259" w:lineRule="auto"/>
      </w:pPr>
      <w:r>
        <w:t>The obtained results show that no particular attention must be given to fouling issues in those systems that are not strongly pushed in terms of recovery. For instance, for systems characterized by a VRF below 4, fouling issues can be neglected during process design. This is not the case for all other systems where VRF&gt;4. In this case, the minimization of the membrane area requirements requires a careful evaluation and maximization of the relevant J</w:t>
      </w:r>
      <w:r w:rsidRPr="00F65E20">
        <w:rPr>
          <w:vertAlign w:val="subscript"/>
        </w:rPr>
        <w:t>b</w:t>
      </w:r>
      <w:r>
        <w:t xml:space="preserve"> value. Since the boundary flux value depends on many parameters, it appears to be profitable to achieve proper choice of operating conditions and pre-treatment steps to maximize J</w:t>
      </w:r>
      <w:r w:rsidRPr="00F65E20">
        <w:rPr>
          <w:vertAlign w:val="subscript"/>
        </w:rPr>
        <w:t>b</w:t>
      </w:r>
      <w:r>
        <w:t>.</w:t>
      </w:r>
    </w:p>
    <w:bookmarkEnd w:id="3"/>
    <w:p w:rsidR="00E2658C" w:rsidRDefault="00E2658C" w:rsidP="00CC7488">
      <w:pPr>
        <w:pStyle w:val="CETReference"/>
      </w:pPr>
      <w:r>
        <w:t>References</w:t>
      </w:r>
    </w:p>
    <w:p w:rsidR="0044168D" w:rsidRDefault="00F65E20" w:rsidP="00CC7488">
      <w:pPr>
        <w:pStyle w:val="CETReferencetext"/>
      </w:pPr>
      <w:r w:rsidRPr="009F13A9">
        <w:t xml:space="preserve">Bavasso I., Vilardi G., Stoller M., Chianese A., Di Palma L., 2016, Perspectives in Nanotechnology Based Innovative Applications for The Environment, Chemical Engineering Transactions, 47, 55–60. </w:t>
      </w:r>
    </w:p>
    <w:p w:rsidR="0044168D" w:rsidRDefault="00D0010D" w:rsidP="00CC7488">
      <w:pPr>
        <w:pStyle w:val="CETReferencetext"/>
      </w:pPr>
      <w:r>
        <w:t>Bavasso I., Montanaro D., Petrucci E., Di Palma L. 2017,</w:t>
      </w:r>
      <w:r w:rsidR="0044168D" w:rsidRPr="0044168D">
        <w:t xml:space="preserve"> Shortcut biological nitrogen removal (sbnr) in microbial fuel cells (mfcs</w:t>
      </w:r>
      <w:r>
        <w:t xml:space="preserve">), </w:t>
      </w:r>
      <w:r w:rsidR="0044168D" w:rsidRPr="00D0010D">
        <w:rPr>
          <w:iCs/>
        </w:rPr>
        <w:t>Chemical Engineering Transactions</w:t>
      </w:r>
      <w:r w:rsidR="0044168D" w:rsidRPr="000D19A0">
        <w:t>, </w:t>
      </w:r>
      <w:r w:rsidR="0044168D" w:rsidRPr="000D19A0">
        <w:rPr>
          <w:iCs/>
        </w:rPr>
        <w:t>57</w:t>
      </w:r>
      <w:r w:rsidR="0044168D" w:rsidRPr="000D19A0">
        <w:t>,</w:t>
      </w:r>
      <w:r w:rsidR="0044168D" w:rsidRPr="0044168D">
        <w:t xml:space="preserve"> 727-732.</w:t>
      </w:r>
    </w:p>
    <w:p w:rsidR="0044168D" w:rsidRDefault="00D0010D" w:rsidP="00CC7488">
      <w:pPr>
        <w:pStyle w:val="CETReferencetext"/>
      </w:pPr>
      <w:r>
        <w:t>Di Palma L., Bavasso I., Sarasini</w:t>
      </w:r>
      <w:r w:rsidR="0044168D" w:rsidRPr="0044168D">
        <w:t xml:space="preserve"> F., Tirillò </w:t>
      </w:r>
      <w:r>
        <w:t>J., Puglia D., Dominici</w:t>
      </w:r>
      <w:r w:rsidR="0044168D">
        <w:t xml:space="preserve"> F., Torre L., 2018,</w:t>
      </w:r>
      <w:r w:rsidR="0044168D" w:rsidRPr="0044168D">
        <w:t xml:space="preserve"> Effect of nano</w:t>
      </w:r>
      <w:r w:rsidR="0044168D" w:rsidRPr="0044168D">
        <w:rPr>
          <w:rFonts w:ascii="Cambria Math" w:hAnsi="Cambria Math" w:cs="Cambria Math"/>
        </w:rPr>
        <w:t>‐</w:t>
      </w:r>
      <w:r w:rsidR="0044168D" w:rsidRPr="0044168D">
        <w:t>magnetite particle content on mechanical, thermal and magnetic propert</w:t>
      </w:r>
      <w:r>
        <w:t>ies of polypropylene composites</w:t>
      </w:r>
      <w:r w:rsidRPr="00D0010D">
        <w:t>.</w:t>
      </w:r>
      <w:r w:rsidR="0044168D" w:rsidRPr="00D0010D">
        <w:rPr>
          <w:rFonts w:cs="Arial"/>
        </w:rPr>
        <w:t> </w:t>
      </w:r>
      <w:r w:rsidR="0044168D" w:rsidRPr="00D0010D">
        <w:rPr>
          <w:iCs/>
        </w:rPr>
        <w:t>Polymer Composites</w:t>
      </w:r>
      <w:r w:rsidR="0044168D" w:rsidRPr="0044168D">
        <w:t>, </w:t>
      </w:r>
      <w:r w:rsidR="0044168D" w:rsidRPr="000D19A0">
        <w:rPr>
          <w:iCs/>
        </w:rPr>
        <w:t>39</w:t>
      </w:r>
      <w:r w:rsidR="0044168D" w:rsidRPr="0044168D">
        <w:t>(S3), E1742-E1750.</w:t>
      </w:r>
    </w:p>
    <w:p w:rsidR="001A5957" w:rsidRPr="00C912BF" w:rsidRDefault="001A5957" w:rsidP="00CC7488">
      <w:pPr>
        <w:pStyle w:val="CETReferencetext"/>
        <w:rPr>
          <w:lang w:val="en-US"/>
        </w:rPr>
      </w:pPr>
      <w:r w:rsidRPr="00C912BF">
        <w:rPr>
          <w:lang w:val="en-US"/>
        </w:rPr>
        <w:t>Mi B., Elimelech M., 2010, Organic fouling of forward osmosis membranes, fouling reversibility and cleaning without chemical reagents, Journal of membrane science, 348(1-2), 337-345.</w:t>
      </w:r>
    </w:p>
    <w:p w:rsidR="00C912BF" w:rsidRPr="00C912BF" w:rsidRDefault="00C912BF" w:rsidP="00CC7488">
      <w:pPr>
        <w:pStyle w:val="CETReferencetext"/>
        <w:rPr>
          <w:lang w:val="en-US"/>
        </w:rPr>
      </w:pPr>
      <w:r w:rsidRPr="00C912BF">
        <w:rPr>
          <w:lang w:val="en-US"/>
        </w:rPr>
        <w:t xml:space="preserve">Kimura K., Hane Y., </w:t>
      </w:r>
      <w:r w:rsidR="00D0010D">
        <w:rPr>
          <w:lang w:val="en-US"/>
        </w:rPr>
        <w:t>Watanabe Y., Amy G., Ohkuma N., 2004</w:t>
      </w:r>
      <w:r w:rsidRPr="00C912BF">
        <w:rPr>
          <w:lang w:val="en-US"/>
        </w:rPr>
        <w:t>, Irreversible membrane fouling during ultrafiltration of surface water, Water research, 38(14-15), 3431-3441.</w:t>
      </w:r>
    </w:p>
    <w:p w:rsidR="005C41F5" w:rsidRPr="00516F43" w:rsidRDefault="005C41F5" w:rsidP="00CC7488">
      <w:pPr>
        <w:pStyle w:val="CETReferencetext"/>
      </w:pPr>
      <w:r w:rsidRPr="00C912BF">
        <w:rPr>
          <w:lang w:val="en-US"/>
        </w:rPr>
        <w:t>Ochando-Pulido J. M., Stoller M., 2015, Kinetics and boundary flux optimization</w:t>
      </w:r>
      <w:r w:rsidRPr="00516F43">
        <w:t xml:space="preserve"> of integrated photocatalysis and ultrafiltration process for two-phase vegetation and olive washing wastewaters treatment, Chemical Engineering Journal, 279, 387-395.</w:t>
      </w:r>
    </w:p>
    <w:p w:rsidR="005C41F5" w:rsidRDefault="005C41F5" w:rsidP="00CC7488">
      <w:pPr>
        <w:pStyle w:val="CETReferencetext"/>
      </w:pPr>
      <w:r w:rsidRPr="00516F43">
        <w:rPr>
          <w:lang w:val="en-US"/>
        </w:rPr>
        <w:t xml:space="preserve">Stoller M., Ochando-Pulido, J. M., Chianese A., 2013, </w:t>
      </w:r>
      <w:r w:rsidRPr="00516F43">
        <w:t>Comparison of critical and threshold fluxes on ultrafiltration and nanofiltration by treating 2-phase or 3-phase olive mill wastewater, 32, 397-402.</w:t>
      </w:r>
    </w:p>
    <w:p w:rsidR="00373155" w:rsidRPr="00516F43" w:rsidRDefault="00D0010D" w:rsidP="00CC7488">
      <w:pPr>
        <w:pStyle w:val="CETReferencetext"/>
      </w:pPr>
      <w:r w:rsidRPr="003842C5">
        <w:t>Stoller</w:t>
      </w:r>
      <w:r w:rsidR="00373155" w:rsidRPr="003842C5">
        <w:t xml:space="preserve"> M., Och</w:t>
      </w:r>
      <w:r w:rsidRPr="003842C5">
        <w:t>ando-Pulido</w:t>
      </w:r>
      <w:r w:rsidR="00373155" w:rsidRPr="003842C5">
        <w:t xml:space="preserve"> J.M.</w:t>
      </w:r>
      <w:r w:rsidRPr="003842C5">
        <w:t>, 2014,</w:t>
      </w:r>
      <w:r w:rsidR="00373155" w:rsidRPr="003842C5">
        <w:t xml:space="preserve"> </w:t>
      </w:r>
      <w:r w:rsidRPr="003842C5">
        <w:t>The Boundary Flux Handbook,</w:t>
      </w:r>
      <w:r w:rsidR="00373155" w:rsidRPr="003842C5">
        <w:t xml:space="preserve"> A Comprehensive Database of Critical and Threshold Flux Values for Membrane Practitioners</w:t>
      </w:r>
      <w:r w:rsidRPr="003842C5">
        <w:t>, The Boundary Flux Handbook,</w:t>
      </w:r>
      <w:r w:rsidR="00373155" w:rsidRPr="003842C5">
        <w:t xml:space="preserve"> A Comprehensive Database of Critical and Threshold Flux Values</w:t>
      </w:r>
      <w:r w:rsidR="000D19A0" w:rsidRPr="003842C5">
        <w:t xml:space="preserve"> for Membrane Practitioners,</w:t>
      </w:r>
      <w:r w:rsidR="00373155" w:rsidRPr="003842C5">
        <w:t xml:space="preserve"> 1-152. </w:t>
      </w:r>
    </w:p>
    <w:p w:rsidR="005C41F5" w:rsidRDefault="005C41F5" w:rsidP="00CC7488">
      <w:pPr>
        <w:pStyle w:val="CETReferencetext"/>
      </w:pPr>
      <w:r w:rsidRPr="00516F43">
        <w:t>Stoller M., Azizova G., Mammadova A., Vilardi G., Di Palma L., Chianese A., 2016, Treatment of Olive Oil Processing Wastewater by Ultrafiltration, Nanofiltration, Reverse Osmosis and Biofiltration, Chemical</w:t>
      </w:r>
      <w:r>
        <w:t xml:space="preserve"> </w:t>
      </w:r>
      <w:r w:rsidRPr="00516F43">
        <w:t>Engineering Transactions, 47, 409–414.</w:t>
      </w:r>
    </w:p>
    <w:p w:rsidR="004C7106" w:rsidRPr="00516F43" w:rsidRDefault="004C7106" w:rsidP="00CC7488">
      <w:pPr>
        <w:pStyle w:val="CETReferencetext"/>
      </w:pPr>
      <w:r w:rsidRPr="003842C5">
        <w:t>Stoller M., Serrão Mendes R.</w:t>
      </w:r>
      <w:r w:rsidR="000D19A0" w:rsidRPr="003842C5">
        <w:t>, 2017,</w:t>
      </w:r>
      <w:r w:rsidR="00373155" w:rsidRPr="003842C5">
        <w:t xml:space="preserve"> </w:t>
      </w:r>
      <w:r w:rsidRPr="003842C5">
        <w:t>Advanced control system for membrane processes based on the boundary flux model</w:t>
      </w:r>
      <w:r w:rsidR="000D19A0" w:rsidRPr="003842C5">
        <w:t>,</w:t>
      </w:r>
      <w:r w:rsidRPr="003842C5">
        <w:t xml:space="preserve"> Separation and P</w:t>
      </w:r>
      <w:r w:rsidR="000D19A0" w:rsidRPr="003842C5">
        <w:t>urification Technology, 175,</w:t>
      </w:r>
      <w:r w:rsidRPr="003842C5">
        <w:t xml:space="preserve"> 527-535.</w:t>
      </w:r>
    </w:p>
    <w:p w:rsidR="005C41F5" w:rsidRPr="00516F43" w:rsidRDefault="005C41F5" w:rsidP="00CC7488">
      <w:pPr>
        <w:pStyle w:val="CETReferencetext"/>
      </w:pPr>
      <w:r w:rsidRPr="00516F43">
        <w:rPr>
          <w:lang w:val="en-US"/>
        </w:rPr>
        <w:t>Stoller M., Ochando-Pulido J.M., Vilardi G., Vuppala S., Bravi M., Verdone N., Di Palma L., 2017</w:t>
      </w:r>
      <w:r w:rsidR="00995921">
        <w:rPr>
          <w:lang w:val="en-US"/>
        </w:rPr>
        <w:t>b</w:t>
      </w:r>
      <w:r w:rsidRPr="00516F43">
        <w:rPr>
          <w:lang w:val="en-US"/>
        </w:rPr>
        <w:t xml:space="preserve">, Technical </w:t>
      </w:r>
      <w:r w:rsidRPr="00516F43">
        <w:t>and economic impact of photocatalysis as a pretreatment process step in olive mill wastewater treatment by</w:t>
      </w:r>
      <w:r>
        <w:t xml:space="preserve"> </w:t>
      </w:r>
      <w:r w:rsidRPr="00516F43">
        <w:t>membranes, Chemical Engineering Transactions, 57, 1171-1176.</w:t>
      </w:r>
    </w:p>
    <w:p w:rsidR="005C41F5" w:rsidRDefault="005C41F5" w:rsidP="00CC7488">
      <w:pPr>
        <w:pStyle w:val="CETReferencetext"/>
      </w:pPr>
      <w:r w:rsidRPr="00516F43">
        <w:t>Stoller M., Vilardi G., Di Palma L., Chianese A., Morganti P., 2017</w:t>
      </w:r>
      <w:r w:rsidR="00995921">
        <w:t>a</w:t>
      </w:r>
      <w:r w:rsidRPr="00516F43">
        <w:t>, Process intensification techniques for the</w:t>
      </w:r>
      <w:r>
        <w:t xml:space="preserve"> </w:t>
      </w:r>
      <w:r w:rsidRPr="00516F43">
        <w:t>production of nanoparticles for the cosmetic and pharmaceutical industry, Journal of Applied Cosmetology,</w:t>
      </w:r>
      <w:r>
        <w:t xml:space="preserve"> </w:t>
      </w:r>
      <w:r w:rsidRPr="00516F43">
        <w:t>35 (1-2), 53-59.</w:t>
      </w:r>
    </w:p>
    <w:p w:rsidR="0044168D" w:rsidRPr="003842C5" w:rsidRDefault="00D0010D" w:rsidP="00CC7488">
      <w:pPr>
        <w:pStyle w:val="CETReferencetext"/>
      </w:pPr>
      <w:r w:rsidRPr="003842C5">
        <w:t>Stoller M., Sacco O., Vilardi G., Pulido J.M.O., Di Palma</w:t>
      </w:r>
      <w:r w:rsidR="0044168D" w:rsidRPr="003842C5">
        <w:t xml:space="preserve"> L.</w:t>
      </w:r>
      <w:r w:rsidR="004C7106" w:rsidRPr="003842C5">
        <w:t xml:space="preserve">, </w:t>
      </w:r>
      <w:r w:rsidR="0044168D" w:rsidRPr="003842C5">
        <w:t>Technical–economic evaluation of chromium recovery from tannery wastewater streams by means of membrane processes</w:t>
      </w:r>
      <w:r w:rsidRPr="003842C5">
        <w:t>, 2018,</w:t>
      </w:r>
      <w:r w:rsidR="0044168D" w:rsidRPr="003842C5">
        <w:t xml:space="preserve"> Desalination and Water Treatment, 127, pp. 57-63. </w:t>
      </w:r>
    </w:p>
    <w:p w:rsidR="005C41F5" w:rsidRPr="00516F43" w:rsidRDefault="005C41F5" w:rsidP="00CC7488">
      <w:pPr>
        <w:pStyle w:val="CETReferencetext"/>
      </w:pPr>
      <w:r w:rsidRPr="00516F43">
        <w:t>Vilardi G., Di Palma L., Verdone N., 2017a, Competitive Reactio</w:t>
      </w:r>
      <w:r w:rsidR="00D0010D">
        <w:t xml:space="preserve">n Modelling in Aqueous Systems, </w:t>
      </w:r>
      <w:r w:rsidRPr="00516F43">
        <w:t>the Case of</w:t>
      </w:r>
      <w:r>
        <w:t xml:space="preserve"> </w:t>
      </w:r>
      <w:r w:rsidRPr="00516F43">
        <w:t>Contemporary Reduction of Dichromates and Nitrates by nZVI, Chemical Engineering Transactions, 60,</w:t>
      </w:r>
      <w:r>
        <w:t xml:space="preserve"> </w:t>
      </w:r>
      <w:r w:rsidRPr="00516F43">
        <w:t xml:space="preserve">175–180. </w:t>
      </w:r>
    </w:p>
    <w:p w:rsidR="005C41F5" w:rsidRPr="00516F43" w:rsidRDefault="005C41F5" w:rsidP="00CC7488">
      <w:pPr>
        <w:pStyle w:val="CETReferencetext"/>
        <w:rPr>
          <w:lang w:val="en-US"/>
        </w:rPr>
      </w:pPr>
      <w:r w:rsidRPr="00516F43">
        <w:rPr>
          <w:lang w:val="en-US"/>
        </w:rPr>
        <w:t xml:space="preserve">Vilardi G., Stoller M., Verdone N., Di Palma L., 2017b, </w:t>
      </w:r>
      <w:r w:rsidRPr="00516F43">
        <w:t>Production of nano Zero Valent Iron particles by means</w:t>
      </w:r>
      <w:r>
        <w:t xml:space="preserve"> </w:t>
      </w:r>
      <w:r w:rsidRPr="00516F43">
        <w:t xml:space="preserve">of a spinning disk reactor, </w:t>
      </w:r>
      <w:r w:rsidRPr="00516F43">
        <w:rPr>
          <w:lang w:val="en-US"/>
        </w:rPr>
        <w:t>Chemical Engineering Transactions, 57, 751–756.</w:t>
      </w:r>
    </w:p>
    <w:p w:rsidR="00F65E20" w:rsidRPr="00516F43" w:rsidRDefault="00F65E20" w:rsidP="00F65E20">
      <w:pPr>
        <w:pStyle w:val="CETReferencetext"/>
      </w:pPr>
      <w:r w:rsidRPr="00516F43">
        <w:rPr>
          <w:lang w:val="en-US"/>
        </w:rPr>
        <w:lastRenderedPageBreak/>
        <w:t>Vilardi G.</w:t>
      </w:r>
      <w:r>
        <w:rPr>
          <w:lang w:val="en-US"/>
        </w:rPr>
        <w:t>, Di Palma L., Verdone N., 2018a</w:t>
      </w:r>
      <w:r w:rsidRPr="00516F43">
        <w:rPr>
          <w:lang w:val="en-US"/>
        </w:rPr>
        <w:t xml:space="preserve">, </w:t>
      </w:r>
      <w:r w:rsidRPr="00516F43">
        <w:t>Heavy metals adsorptio</w:t>
      </w:r>
      <w:r>
        <w:t xml:space="preserve">n by banana peels micro-powder, </w:t>
      </w:r>
      <w:r w:rsidRPr="00516F43">
        <w:t>Equilibrium</w:t>
      </w:r>
      <w:r>
        <w:t xml:space="preserve"> </w:t>
      </w:r>
      <w:r w:rsidRPr="00516F43">
        <w:t>modeling by non-linear models, Chinese Journal of Chemical Engineering, 26, 455-464.</w:t>
      </w:r>
    </w:p>
    <w:p w:rsidR="005C41F5" w:rsidRPr="00516F43" w:rsidRDefault="005C41F5" w:rsidP="00CC7488">
      <w:pPr>
        <w:pStyle w:val="CETReferencetext"/>
      </w:pPr>
      <w:r w:rsidRPr="00516F43">
        <w:t>Vilardi G., Mpouras T., Dermatas D., Verdone N., Polydera A., Di Palma L., 2018</w:t>
      </w:r>
      <w:r w:rsidR="0044168D">
        <w:t>b</w:t>
      </w:r>
      <w:r w:rsidRPr="00516F43">
        <w:t>, Nanomaterials application</w:t>
      </w:r>
      <w:r>
        <w:t xml:space="preserve"> </w:t>
      </w:r>
      <w:r w:rsidRPr="00516F43">
        <w:t>for heavy meta</w:t>
      </w:r>
      <w:r w:rsidR="00D0010D">
        <w:t>ls recovery from polluted water,</w:t>
      </w:r>
      <w:r w:rsidRPr="00516F43">
        <w:t xml:space="preserve"> the combination of nano zero-valent iron and carbon</w:t>
      </w:r>
      <w:r>
        <w:t xml:space="preserve"> </w:t>
      </w:r>
      <w:r w:rsidR="00D0010D">
        <w:t xml:space="preserve">nanotubes, </w:t>
      </w:r>
      <w:r w:rsidRPr="00516F43">
        <w:t>Competitive adsorption non-linear modeling, Chemosphere, 201, 716-729.</w:t>
      </w:r>
    </w:p>
    <w:p w:rsidR="005C41F5" w:rsidRDefault="005C41F5" w:rsidP="00CC7488">
      <w:pPr>
        <w:pStyle w:val="CETReferencetext"/>
        <w:rPr>
          <w:lang w:val="en-US"/>
        </w:rPr>
      </w:pPr>
      <w:r w:rsidRPr="00516F43">
        <w:rPr>
          <w:lang w:val="en-US"/>
        </w:rPr>
        <w:t>Vilardi G.</w:t>
      </w:r>
      <w:r w:rsidR="0044168D">
        <w:rPr>
          <w:lang w:val="en-US"/>
        </w:rPr>
        <w:t>, Di Palma L., Verdone N., 2018c</w:t>
      </w:r>
      <w:r w:rsidRPr="00516F43">
        <w:rPr>
          <w:lang w:val="en-US"/>
        </w:rPr>
        <w:t xml:space="preserve">, </w:t>
      </w:r>
      <w:r w:rsidRPr="00516F43">
        <w:t>On the critical use of zero valent iron nanoparticles and Fenton</w:t>
      </w:r>
      <w:r>
        <w:t xml:space="preserve"> </w:t>
      </w:r>
      <w:r w:rsidRPr="00516F43">
        <w:t xml:space="preserve">processes for the treatment of tannery wastewater, </w:t>
      </w:r>
      <w:r w:rsidRPr="00516F43">
        <w:rPr>
          <w:lang w:val="en-US"/>
        </w:rPr>
        <w:t>Journal of Water Process Engineering, 22C, 109–122.</w:t>
      </w:r>
    </w:p>
    <w:p w:rsidR="00F65E20" w:rsidRDefault="00F65E20" w:rsidP="00F65E20">
      <w:pPr>
        <w:pStyle w:val="CETReferencetext"/>
      </w:pPr>
      <w:r w:rsidRPr="00F65E20">
        <w:t>Vilardi G., Ochando Pulido J.M., Verdone N.</w:t>
      </w:r>
      <w:r>
        <w:t>, Stoller M., Di Palma L., 2018d</w:t>
      </w:r>
      <w:r w:rsidRPr="00F65E20">
        <w:t>, On the removal of Hexavalent Chromium by olive stones coated by iron-based nanoparticles: equilibrium study and Chromium recovery, Journal of Cleaner Production, 190, 200-210.</w:t>
      </w:r>
    </w:p>
    <w:p w:rsidR="00374750" w:rsidRPr="00374750" w:rsidRDefault="00374750" w:rsidP="00374750">
      <w:pPr>
        <w:pStyle w:val="CETReferencetext"/>
      </w:pPr>
      <w:r w:rsidRPr="00374750">
        <w:t>Vilardi G., Rodriguez-Rodriguez J., Ochando-Pulido J.M., Verdone N., Marti</w:t>
      </w:r>
      <w:r>
        <w:t>nez-Ferez A., Di Palma L., 2018e</w:t>
      </w:r>
      <w:r w:rsidRPr="00374750">
        <w:t>, Large Laboratory-Plant application of a Tannery wastewater treatment by Fenton oxidation: Fe(II) and nZVI catalyst comparison and kinetic modelling, Process Safety and Environmental Protection, 117, 629-638.</w:t>
      </w:r>
    </w:p>
    <w:p w:rsidR="00374750" w:rsidRPr="00374750" w:rsidRDefault="00374750" w:rsidP="00374750">
      <w:pPr>
        <w:pStyle w:val="CETReferencetext"/>
      </w:pPr>
      <w:r w:rsidRPr="00374750">
        <w:t>Vilardi G., Ochando Pulido J.M., Stoller M.</w:t>
      </w:r>
      <w:r>
        <w:t>, Verdone N., Di Palma L., 2018f</w:t>
      </w:r>
      <w:bookmarkStart w:id="6" w:name="_GoBack"/>
      <w:bookmarkEnd w:id="6"/>
      <w:r w:rsidRPr="00374750">
        <w:t>, Fenton oxidation and chromium recovery from tannery wastewater by means of iron-based coated biomass as heterogeneous catalyst in fixed-bed columns, Chemical Engineering Journal, 351, 1-11.</w:t>
      </w:r>
    </w:p>
    <w:p w:rsidR="00F65E20" w:rsidRPr="00F65E20" w:rsidRDefault="00F65E20" w:rsidP="00F65E20">
      <w:pPr>
        <w:pStyle w:val="CETReferencetext"/>
      </w:pPr>
      <w:r w:rsidRPr="00F65E20">
        <w:t>Vilardi G., 2019, Mathematical modelling of simultaneous nitrate and dissolved oxygen reduction by Cu-nZVI using a bi-component shrinking core model, Powder Technology, 343, 613-618.</w:t>
      </w:r>
    </w:p>
    <w:p w:rsidR="00F65E20" w:rsidRPr="00F65E20" w:rsidRDefault="00F65E20" w:rsidP="00F65E20">
      <w:pPr>
        <w:pStyle w:val="CETReferencetext"/>
      </w:pPr>
      <w:r w:rsidRPr="00F65E20">
        <w:t>Vilardi G., Di Palma L., Verdone N., 2019a, A physical-based interpretation of mechanism and kinetics of Cr(VI) reduction in aqueous solution by zero-valent iron nanoparticles, Chemosphere, 220, 590-599.</w:t>
      </w:r>
    </w:p>
    <w:p w:rsidR="00F65E20" w:rsidRPr="00F65E20" w:rsidRDefault="00F65E20" w:rsidP="00F65E20">
      <w:pPr>
        <w:pStyle w:val="CETReferencetext"/>
      </w:pPr>
      <w:r w:rsidRPr="00F65E20">
        <w:t>Vilardi G., Rodriguez-Rodriguez J., Ochando Pulido J.M., Di Palma L., Verdone N., 2019b, Fixed-bed reactor scale-up and modelling for Cr(VI) removal using nano iron-based coated biomass as packing material, Chemical Engineering Journal, 361, 990-998.</w:t>
      </w:r>
    </w:p>
    <w:p w:rsidR="00F65E20" w:rsidRPr="00F65E20" w:rsidRDefault="00F65E20" w:rsidP="00F65E20">
      <w:pPr>
        <w:pStyle w:val="CETReferencetext"/>
      </w:pPr>
    </w:p>
    <w:p w:rsidR="00F65E20" w:rsidRPr="00516F43" w:rsidRDefault="00F65E20" w:rsidP="00CC7488">
      <w:pPr>
        <w:pStyle w:val="CETReferencetext"/>
        <w:rPr>
          <w:lang w:val="en-US"/>
        </w:rPr>
      </w:pPr>
    </w:p>
    <w:p w:rsidR="00491770" w:rsidRPr="00624740" w:rsidRDefault="00491770" w:rsidP="00CC7488">
      <w:pPr>
        <w:pStyle w:val="CETReferencetext"/>
        <w:rPr>
          <w:lang w:val="en-US"/>
        </w:rPr>
      </w:pPr>
    </w:p>
    <w:sectPr w:rsidR="00491770" w:rsidRPr="00624740"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FF4" w:rsidRDefault="00725FF4" w:rsidP="004F5E36">
      <w:r>
        <w:separator/>
      </w:r>
    </w:p>
  </w:endnote>
  <w:endnote w:type="continuationSeparator" w:id="0">
    <w:p w:rsidR="00725FF4" w:rsidRDefault="00725FF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FF4" w:rsidRDefault="00725FF4" w:rsidP="004F5E36">
      <w:r>
        <w:separator/>
      </w:r>
    </w:p>
  </w:footnote>
  <w:footnote w:type="continuationSeparator" w:id="0">
    <w:p w:rsidR="00725FF4" w:rsidRDefault="00725FF4"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10B26C7"/>
    <w:multiLevelType w:val="hybridMultilevel"/>
    <w:tmpl w:val="AAD2C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DE945A4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GB"/>
      </w:rPr>
    </w:lvl>
    <w:lvl w:ilvl="2">
      <w:start w:val="1"/>
      <w:numFmt w:val="decimal"/>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B2E4BF6"/>
    <w:multiLevelType w:val="hybridMultilevel"/>
    <w:tmpl w:val="C1DA5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E64067"/>
    <w:multiLevelType w:val="hybridMultilevel"/>
    <w:tmpl w:val="795ACF9C"/>
    <w:lvl w:ilvl="0" w:tplc="860031A2">
      <w:numFmt w:val="bullet"/>
      <w:lvlText w:val="-"/>
      <w:lvlJc w:val="left"/>
      <w:pPr>
        <w:ind w:left="720" w:hanging="360"/>
      </w:pPr>
      <w:rPr>
        <w:rFonts w:ascii="Arial" w:eastAsia="Times New Roman" w:hAnsi="Arial" w:cs="Arial" w:hint="default"/>
        <w:color w:val="222222"/>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3443DD1"/>
    <w:multiLevelType w:val="hybridMultilevel"/>
    <w:tmpl w:val="6E0086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396822"/>
    <w:multiLevelType w:val="hybridMultilevel"/>
    <w:tmpl w:val="277AE59E"/>
    <w:lvl w:ilvl="0" w:tplc="04100001">
      <w:start w:val="90"/>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CB11C8"/>
    <w:multiLevelType w:val="hybridMultilevel"/>
    <w:tmpl w:val="8DD815B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A04CBC"/>
    <w:multiLevelType w:val="hybridMultilevel"/>
    <w:tmpl w:val="FCE2E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74C3728"/>
    <w:multiLevelType w:val="hybridMultilevel"/>
    <w:tmpl w:val="5DC60824"/>
    <w:lvl w:ilvl="0" w:tplc="7E46DD1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9B07123"/>
    <w:multiLevelType w:val="hybridMultilevel"/>
    <w:tmpl w:val="F09C19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BD069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E6069B"/>
    <w:multiLevelType w:val="hybridMultilevel"/>
    <w:tmpl w:val="43301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3"/>
  </w:num>
  <w:num w:numId="13">
    <w:abstractNumId w:val="15"/>
  </w:num>
  <w:num w:numId="14">
    <w:abstractNumId w:val="26"/>
  </w:num>
  <w:num w:numId="15">
    <w:abstractNumId w:val="28"/>
  </w:num>
  <w:num w:numId="16">
    <w:abstractNumId w:val="27"/>
  </w:num>
  <w:num w:numId="17">
    <w:abstractNumId w:val="14"/>
  </w:num>
  <w:num w:numId="18">
    <w:abstractNumId w:val="15"/>
    <w:lvlOverride w:ilvl="0">
      <w:startOverride w:val="1"/>
    </w:lvlOverride>
  </w:num>
  <w:num w:numId="19">
    <w:abstractNumId w:val="21"/>
  </w:num>
  <w:num w:numId="20">
    <w:abstractNumId w:val="20"/>
  </w:num>
  <w:num w:numId="21">
    <w:abstractNumId w:val="16"/>
  </w:num>
  <w:num w:numId="22">
    <w:abstractNumId w:val="10"/>
  </w:num>
  <w:num w:numId="23">
    <w:abstractNumId w:val="24"/>
  </w:num>
  <w:num w:numId="24">
    <w:abstractNumId w:val="22"/>
  </w:num>
  <w:num w:numId="25">
    <w:abstractNumId w:val="19"/>
  </w:num>
  <w:num w:numId="26">
    <w:abstractNumId w:val="30"/>
  </w:num>
  <w:num w:numId="27">
    <w:abstractNumId w:val="12"/>
  </w:num>
  <w:num w:numId="28">
    <w:abstractNumId w:val="17"/>
  </w:num>
  <w:num w:numId="29">
    <w:abstractNumId w:val="25"/>
  </w:num>
  <w:num w:numId="30">
    <w:abstractNumId w:val="18"/>
  </w:num>
  <w:num w:numId="31">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13674"/>
    <w:rsid w:val="00025C51"/>
    <w:rsid w:val="0003148D"/>
    <w:rsid w:val="00044F80"/>
    <w:rsid w:val="00047D7F"/>
    <w:rsid w:val="00051566"/>
    <w:rsid w:val="00056BCD"/>
    <w:rsid w:val="00062A9A"/>
    <w:rsid w:val="00065058"/>
    <w:rsid w:val="00073A60"/>
    <w:rsid w:val="00086C39"/>
    <w:rsid w:val="00093515"/>
    <w:rsid w:val="000971B4"/>
    <w:rsid w:val="000A03B2"/>
    <w:rsid w:val="000B6250"/>
    <w:rsid w:val="000C290F"/>
    <w:rsid w:val="000C41CE"/>
    <w:rsid w:val="000C579F"/>
    <w:rsid w:val="000D19A0"/>
    <w:rsid w:val="000D34BE"/>
    <w:rsid w:val="000D67E2"/>
    <w:rsid w:val="000E102F"/>
    <w:rsid w:val="000E36F1"/>
    <w:rsid w:val="000E3A73"/>
    <w:rsid w:val="000E414A"/>
    <w:rsid w:val="000F093C"/>
    <w:rsid w:val="000F16BD"/>
    <w:rsid w:val="000F787B"/>
    <w:rsid w:val="001074AE"/>
    <w:rsid w:val="001117BC"/>
    <w:rsid w:val="0011374A"/>
    <w:rsid w:val="00120430"/>
    <w:rsid w:val="0012091F"/>
    <w:rsid w:val="00126BC2"/>
    <w:rsid w:val="001308B6"/>
    <w:rsid w:val="0013121F"/>
    <w:rsid w:val="00131337"/>
    <w:rsid w:val="00131FAB"/>
    <w:rsid w:val="00131FE6"/>
    <w:rsid w:val="0013263F"/>
    <w:rsid w:val="00134DE4"/>
    <w:rsid w:val="00135D2A"/>
    <w:rsid w:val="0014034D"/>
    <w:rsid w:val="00142101"/>
    <w:rsid w:val="00143590"/>
    <w:rsid w:val="00150E59"/>
    <w:rsid w:val="00152DE3"/>
    <w:rsid w:val="00155C19"/>
    <w:rsid w:val="00162B21"/>
    <w:rsid w:val="00164CF9"/>
    <w:rsid w:val="00180C7D"/>
    <w:rsid w:val="00184AD6"/>
    <w:rsid w:val="001877B7"/>
    <w:rsid w:val="0019175F"/>
    <w:rsid w:val="0019653D"/>
    <w:rsid w:val="001A5598"/>
    <w:rsid w:val="001A5957"/>
    <w:rsid w:val="001B0349"/>
    <w:rsid w:val="001B65C1"/>
    <w:rsid w:val="001B69A9"/>
    <w:rsid w:val="001C684B"/>
    <w:rsid w:val="001C6B3A"/>
    <w:rsid w:val="001D53FC"/>
    <w:rsid w:val="001F1925"/>
    <w:rsid w:val="001F42A5"/>
    <w:rsid w:val="001F7B9D"/>
    <w:rsid w:val="002224B4"/>
    <w:rsid w:val="0022268E"/>
    <w:rsid w:val="00230872"/>
    <w:rsid w:val="002328D5"/>
    <w:rsid w:val="00233419"/>
    <w:rsid w:val="002447EF"/>
    <w:rsid w:val="00251550"/>
    <w:rsid w:val="00263B05"/>
    <w:rsid w:val="002643E8"/>
    <w:rsid w:val="0027221A"/>
    <w:rsid w:val="00275B61"/>
    <w:rsid w:val="00282656"/>
    <w:rsid w:val="00296B83"/>
    <w:rsid w:val="002A490C"/>
    <w:rsid w:val="002B12F1"/>
    <w:rsid w:val="002B1C6C"/>
    <w:rsid w:val="002B78CE"/>
    <w:rsid w:val="002C2731"/>
    <w:rsid w:val="002C2EC2"/>
    <w:rsid w:val="002C2FB6"/>
    <w:rsid w:val="002C7C9F"/>
    <w:rsid w:val="003009B7"/>
    <w:rsid w:val="00300E56"/>
    <w:rsid w:val="0030469C"/>
    <w:rsid w:val="0031398E"/>
    <w:rsid w:val="003170C6"/>
    <w:rsid w:val="00321CA6"/>
    <w:rsid w:val="003222F0"/>
    <w:rsid w:val="00334C09"/>
    <w:rsid w:val="003365E3"/>
    <w:rsid w:val="00337E44"/>
    <w:rsid w:val="00347DF2"/>
    <w:rsid w:val="003723D4"/>
    <w:rsid w:val="00373155"/>
    <w:rsid w:val="00373BC0"/>
    <w:rsid w:val="00374750"/>
    <w:rsid w:val="0037673A"/>
    <w:rsid w:val="003842C5"/>
    <w:rsid w:val="00384CC8"/>
    <w:rsid w:val="003871FD"/>
    <w:rsid w:val="003A1E30"/>
    <w:rsid w:val="003A3AE9"/>
    <w:rsid w:val="003A7D1C"/>
    <w:rsid w:val="003B304B"/>
    <w:rsid w:val="003B3146"/>
    <w:rsid w:val="003B60F3"/>
    <w:rsid w:val="003C0C2F"/>
    <w:rsid w:val="003D092E"/>
    <w:rsid w:val="003E1277"/>
    <w:rsid w:val="003E4B57"/>
    <w:rsid w:val="003F015E"/>
    <w:rsid w:val="00400414"/>
    <w:rsid w:val="0041446B"/>
    <w:rsid w:val="00423610"/>
    <w:rsid w:val="0042513D"/>
    <w:rsid w:val="0043725A"/>
    <w:rsid w:val="00440760"/>
    <w:rsid w:val="0044168D"/>
    <w:rsid w:val="0044329C"/>
    <w:rsid w:val="004566C5"/>
    <w:rsid w:val="004577FE"/>
    <w:rsid w:val="00457B9C"/>
    <w:rsid w:val="0046164A"/>
    <w:rsid w:val="004628D2"/>
    <w:rsid w:val="00462DCD"/>
    <w:rsid w:val="004648AD"/>
    <w:rsid w:val="00464F7D"/>
    <w:rsid w:val="004703A9"/>
    <w:rsid w:val="00470F4F"/>
    <w:rsid w:val="00472DB1"/>
    <w:rsid w:val="004754D3"/>
    <w:rsid w:val="004760DE"/>
    <w:rsid w:val="004778A4"/>
    <w:rsid w:val="00484F58"/>
    <w:rsid w:val="00491770"/>
    <w:rsid w:val="004960FA"/>
    <w:rsid w:val="004A004E"/>
    <w:rsid w:val="004A24CF"/>
    <w:rsid w:val="004A5B0D"/>
    <w:rsid w:val="004B6721"/>
    <w:rsid w:val="004C3D1D"/>
    <w:rsid w:val="004C517E"/>
    <w:rsid w:val="004C7106"/>
    <w:rsid w:val="004C7913"/>
    <w:rsid w:val="004E4DD6"/>
    <w:rsid w:val="004F5E36"/>
    <w:rsid w:val="004F78AB"/>
    <w:rsid w:val="00506523"/>
    <w:rsid w:val="00507B47"/>
    <w:rsid w:val="00507CC9"/>
    <w:rsid w:val="005119A5"/>
    <w:rsid w:val="005278B7"/>
    <w:rsid w:val="00530273"/>
    <w:rsid w:val="00532016"/>
    <w:rsid w:val="005339E7"/>
    <w:rsid w:val="005346C8"/>
    <w:rsid w:val="00543E7D"/>
    <w:rsid w:val="00547A68"/>
    <w:rsid w:val="005531C9"/>
    <w:rsid w:val="005660E5"/>
    <w:rsid w:val="00567962"/>
    <w:rsid w:val="005953EE"/>
    <w:rsid w:val="005A030D"/>
    <w:rsid w:val="005A4D8B"/>
    <w:rsid w:val="005B01FF"/>
    <w:rsid w:val="005B2110"/>
    <w:rsid w:val="005B61E6"/>
    <w:rsid w:val="005C2693"/>
    <w:rsid w:val="005C41F5"/>
    <w:rsid w:val="005C77E1"/>
    <w:rsid w:val="005D6A2F"/>
    <w:rsid w:val="005E1A82"/>
    <w:rsid w:val="005E794C"/>
    <w:rsid w:val="005F0A28"/>
    <w:rsid w:val="005F0E5E"/>
    <w:rsid w:val="00600535"/>
    <w:rsid w:val="00610CD6"/>
    <w:rsid w:val="00620DEE"/>
    <w:rsid w:val="00621F92"/>
    <w:rsid w:val="00624740"/>
    <w:rsid w:val="00625639"/>
    <w:rsid w:val="006300D9"/>
    <w:rsid w:val="00631B33"/>
    <w:rsid w:val="00631D69"/>
    <w:rsid w:val="0064184D"/>
    <w:rsid w:val="006422CC"/>
    <w:rsid w:val="00650A51"/>
    <w:rsid w:val="00652191"/>
    <w:rsid w:val="00655B90"/>
    <w:rsid w:val="00660E3E"/>
    <w:rsid w:val="00662E74"/>
    <w:rsid w:val="00680C23"/>
    <w:rsid w:val="00682AFE"/>
    <w:rsid w:val="00693558"/>
    <w:rsid w:val="00693766"/>
    <w:rsid w:val="006947DE"/>
    <w:rsid w:val="006A3281"/>
    <w:rsid w:val="006B2670"/>
    <w:rsid w:val="006B30CE"/>
    <w:rsid w:val="006B4888"/>
    <w:rsid w:val="006C2E45"/>
    <w:rsid w:val="006C359C"/>
    <w:rsid w:val="006C5579"/>
    <w:rsid w:val="006E6D9E"/>
    <w:rsid w:val="006E737D"/>
    <w:rsid w:val="00700FD5"/>
    <w:rsid w:val="0070195D"/>
    <w:rsid w:val="00720A24"/>
    <w:rsid w:val="00721E98"/>
    <w:rsid w:val="00725FF4"/>
    <w:rsid w:val="007321A9"/>
    <w:rsid w:val="00732386"/>
    <w:rsid w:val="00734C62"/>
    <w:rsid w:val="007441DA"/>
    <w:rsid w:val="007447F3"/>
    <w:rsid w:val="00744B0A"/>
    <w:rsid w:val="0075499F"/>
    <w:rsid w:val="0075656C"/>
    <w:rsid w:val="00760207"/>
    <w:rsid w:val="0076134E"/>
    <w:rsid w:val="00766164"/>
    <w:rsid w:val="007661C8"/>
    <w:rsid w:val="0076721E"/>
    <w:rsid w:val="00770372"/>
    <w:rsid w:val="0077098D"/>
    <w:rsid w:val="00771D40"/>
    <w:rsid w:val="00771E6D"/>
    <w:rsid w:val="00775CA9"/>
    <w:rsid w:val="007931FA"/>
    <w:rsid w:val="0079750B"/>
    <w:rsid w:val="007A33D8"/>
    <w:rsid w:val="007A7BBA"/>
    <w:rsid w:val="007B0C50"/>
    <w:rsid w:val="007B697F"/>
    <w:rsid w:val="007C1A43"/>
    <w:rsid w:val="007C6941"/>
    <w:rsid w:val="007C7F15"/>
    <w:rsid w:val="007D5F0C"/>
    <w:rsid w:val="007E1DC6"/>
    <w:rsid w:val="007F1AA4"/>
    <w:rsid w:val="008034AF"/>
    <w:rsid w:val="00805D33"/>
    <w:rsid w:val="00813288"/>
    <w:rsid w:val="008168FC"/>
    <w:rsid w:val="00830996"/>
    <w:rsid w:val="008345F1"/>
    <w:rsid w:val="008511A7"/>
    <w:rsid w:val="008531D2"/>
    <w:rsid w:val="00853FC1"/>
    <w:rsid w:val="00865B07"/>
    <w:rsid w:val="008667EA"/>
    <w:rsid w:val="0087637F"/>
    <w:rsid w:val="00876405"/>
    <w:rsid w:val="00883C78"/>
    <w:rsid w:val="00886C4C"/>
    <w:rsid w:val="008904B9"/>
    <w:rsid w:val="00892AD5"/>
    <w:rsid w:val="008A1512"/>
    <w:rsid w:val="008A21E1"/>
    <w:rsid w:val="008D32B9"/>
    <w:rsid w:val="008D433B"/>
    <w:rsid w:val="008E566E"/>
    <w:rsid w:val="008F27AB"/>
    <w:rsid w:val="008F4E87"/>
    <w:rsid w:val="0090161A"/>
    <w:rsid w:val="00901EB6"/>
    <w:rsid w:val="00904C62"/>
    <w:rsid w:val="00920A0C"/>
    <w:rsid w:val="00920B60"/>
    <w:rsid w:val="00924DAC"/>
    <w:rsid w:val="00926959"/>
    <w:rsid w:val="00927058"/>
    <w:rsid w:val="009308B9"/>
    <w:rsid w:val="00931170"/>
    <w:rsid w:val="009450CE"/>
    <w:rsid w:val="00947179"/>
    <w:rsid w:val="0095164B"/>
    <w:rsid w:val="009528EE"/>
    <w:rsid w:val="00954090"/>
    <w:rsid w:val="009573E7"/>
    <w:rsid w:val="00963E05"/>
    <w:rsid w:val="00965A58"/>
    <w:rsid w:val="00967D54"/>
    <w:rsid w:val="00970C8D"/>
    <w:rsid w:val="00995921"/>
    <w:rsid w:val="00996483"/>
    <w:rsid w:val="00996F5A"/>
    <w:rsid w:val="009A0A3E"/>
    <w:rsid w:val="009A28B3"/>
    <w:rsid w:val="009A5672"/>
    <w:rsid w:val="009B041A"/>
    <w:rsid w:val="009C7C86"/>
    <w:rsid w:val="009D2FF7"/>
    <w:rsid w:val="009D6CCF"/>
    <w:rsid w:val="009E1C4A"/>
    <w:rsid w:val="009E7884"/>
    <w:rsid w:val="009E788A"/>
    <w:rsid w:val="009F0E08"/>
    <w:rsid w:val="009F1985"/>
    <w:rsid w:val="00A06782"/>
    <w:rsid w:val="00A166FA"/>
    <w:rsid w:val="00A1763D"/>
    <w:rsid w:val="00A17CEC"/>
    <w:rsid w:val="00A27EF0"/>
    <w:rsid w:val="00A472F7"/>
    <w:rsid w:val="00A50B20"/>
    <w:rsid w:val="00A51390"/>
    <w:rsid w:val="00A52B69"/>
    <w:rsid w:val="00A54F9A"/>
    <w:rsid w:val="00A60D13"/>
    <w:rsid w:val="00A666A8"/>
    <w:rsid w:val="00A714E6"/>
    <w:rsid w:val="00A72745"/>
    <w:rsid w:val="00A76EFC"/>
    <w:rsid w:val="00A91010"/>
    <w:rsid w:val="00A919B5"/>
    <w:rsid w:val="00A97F29"/>
    <w:rsid w:val="00AA6ACE"/>
    <w:rsid w:val="00AA702E"/>
    <w:rsid w:val="00AB0964"/>
    <w:rsid w:val="00AB46F4"/>
    <w:rsid w:val="00AB5011"/>
    <w:rsid w:val="00AC3230"/>
    <w:rsid w:val="00AC7368"/>
    <w:rsid w:val="00AD16B9"/>
    <w:rsid w:val="00AE0FEB"/>
    <w:rsid w:val="00AE377D"/>
    <w:rsid w:val="00B003D4"/>
    <w:rsid w:val="00B15670"/>
    <w:rsid w:val="00B16616"/>
    <w:rsid w:val="00B17FBD"/>
    <w:rsid w:val="00B20DDC"/>
    <w:rsid w:val="00B21A26"/>
    <w:rsid w:val="00B22E34"/>
    <w:rsid w:val="00B315A6"/>
    <w:rsid w:val="00B31813"/>
    <w:rsid w:val="00B33365"/>
    <w:rsid w:val="00B578CB"/>
    <w:rsid w:val="00B57B36"/>
    <w:rsid w:val="00B63136"/>
    <w:rsid w:val="00B64E86"/>
    <w:rsid w:val="00B816E6"/>
    <w:rsid w:val="00B8686D"/>
    <w:rsid w:val="00BA7259"/>
    <w:rsid w:val="00BC14B9"/>
    <w:rsid w:val="00BC30C9"/>
    <w:rsid w:val="00BC5F4E"/>
    <w:rsid w:val="00BD1832"/>
    <w:rsid w:val="00BD1915"/>
    <w:rsid w:val="00BE3E58"/>
    <w:rsid w:val="00BF561F"/>
    <w:rsid w:val="00BF6A5D"/>
    <w:rsid w:val="00C015F0"/>
    <w:rsid w:val="00C01616"/>
    <w:rsid w:val="00C0162B"/>
    <w:rsid w:val="00C2621C"/>
    <w:rsid w:val="00C345B1"/>
    <w:rsid w:val="00C40142"/>
    <w:rsid w:val="00C5470C"/>
    <w:rsid w:val="00C57182"/>
    <w:rsid w:val="00C57863"/>
    <w:rsid w:val="00C57BE0"/>
    <w:rsid w:val="00C639D5"/>
    <w:rsid w:val="00C655FD"/>
    <w:rsid w:val="00C72848"/>
    <w:rsid w:val="00C870A8"/>
    <w:rsid w:val="00C912BF"/>
    <w:rsid w:val="00C94434"/>
    <w:rsid w:val="00CA0D75"/>
    <w:rsid w:val="00CA1C95"/>
    <w:rsid w:val="00CA5A9C"/>
    <w:rsid w:val="00CC1B57"/>
    <w:rsid w:val="00CC7488"/>
    <w:rsid w:val="00CC78DC"/>
    <w:rsid w:val="00CD3517"/>
    <w:rsid w:val="00CD5FE2"/>
    <w:rsid w:val="00CE10B1"/>
    <w:rsid w:val="00CE7C68"/>
    <w:rsid w:val="00CF1C5C"/>
    <w:rsid w:val="00D0010D"/>
    <w:rsid w:val="00D02B37"/>
    <w:rsid w:val="00D02B4C"/>
    <w:rsid w:val="00D040C4"/>
    <w:rsid w:val="00D2486A"/>
    <w:rsid w:val="00D31786"/>
    <w:rsid w:val="00D3288F"/>
    <w:rsid w:val="00D473DE"/>
    <w:rsid w:val="00D51917"/>
    <w:rsid w:val="00D55B39"/>
    <w:rsid w:val="00D57C84"/>
    <w:rsid w:val="00D6057D"/>
    <w:rsid w:val="00D70083"/>
    <w:rsid w:val="00D84576"/>
    <w:rsid w:val="00D9253B"/>
    <w:rsid w:val="00DA1399"/>
    <w:rsid w:val="00DA24C6"/>
    <w:rsid w:val="00DA44F2"/>
    <w:rsid w:val="00DA4D7B"/>
    <w:rsid w:val="00DC05F9"/>
    <w:rsid w:val="00DD0B9D"/>
    <w:rsid w:val="00DE264A"/>
    <w:rsid w:val="00DE5C2A"/>
    <w:rsid w:val="00E02D18"/>
    <w:rsid w:val="00E041E7"/>
    <w:rsid w:val="00E15361"/>
    <w:rsid w:val="00E16785"/>
    <w:rsid w:val="00E220F2"/>
    <w:rsid w:val="00E23BD4"/>
    <w:rsid w:val="00E23CA1"/>
    <w:rsid w:val="00E2658C"/>
    <w:rsid w:val="00E409A8"/>
    <w:rsid w:val="00E50C12"/>
    <w:rsid w:val="00E54732"/>
    <w:rsid w:val="00E63BCD"/>
    <w:rsid w:val="00E65B91"/>
    <w:rsid w:val="00E70244"/>
    <w:rsid w:val="00E7209D"/>
    <w:rsid w:val="00E77223"/>
    <w:rsid w:val="00E8528B"/>
    <w:rsid w:val="00E85B94"/>
    <w:rsid w:val="00E93D92"/>
    <w:rsid w:val="00E978D0"/>
    <w:rsid w:val="00EA03FA"/>
    <w:rsid w:val="00EA4613"/>
    <w:rsid w:val="00EA7F91"/>
    <w:rsid w:val="00EB1523"/>
    <w:rsid w:val="00EB17E3"/>
    <w:rsid w:val="00EC0E49"/>
    <w:rsid w:val="00EC303B"/>
    <w:rsid w:val="00EC4009"/>
    <w:rsid w:val="00EC55CF"/>
    <w:rsid w:val="00ED5F33"/>
    <w:rsid w:val="00EE0131"/>
    <w:rsid w:val="00EF1B41"/>
    <w:rsid w:val="00F12785"/>
    <w:rsid w:val="00F155B2"/>
    <w:rsid w:val="00F21613"/>
    <w:rsid w:val="00F30C64"/>
    <w:rsid w:val="00F31C67"/>
    <w:rsid w:val="00F32CDB"/>
    <w:rsid w:val="00F502F9"/>
    <w:rsid w:val="00F52B6E"/>
    <w:rsid w:val="00F63A70"/>
    <w:rsid w:val="00F65E20"/>
    <w:rsid w:val="00F97F85"/>
    <w:rsid w:val="00FA0A08"/>
    <w:rsid w:val="00FA21D0"/>
    <w:rsid w:val="00FA5F5F"/>
    <w:rsid w:val="00FB730C"/>
    <w:rsid w:val="00FC1AAB"/>
    <w:rsid w:val="00FC2695"/>
    <w:rsid w:val="00FC3E03"/>
    <w:rsid w:val="00FC3FC1"/>
    <w:rsid w:val="00FC5BF6"/>
    <w:rsid w:val="00FE0535"/>
    <w:rsid w:val="00FE0C75"/>
    <w:rsid w:val="00FE685E"/>
    <w:rsid w:val="00FF6D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1AF63"/>
  <w15:docId w15:val="{BE83BA72-9EE8-47D0-9AD7-7B342272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760207"/>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760207"/>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 w:type="paragraph" w:styleId="Paragrafoelenco">
    <w:name w:val="List Paragraph"/>
    <w:basedOn w:val="Normale"/>
    <w:uiPriority w:val="34"/>
    <w:qFormat/>
    <w:rsid w:val="00056BCD"/>
    <w:pPr>
      <w:ind w:left="720"/>
      <w:contextualSpacing/>
    </w:pPr>
  </w:style>
  <w:style w:type="table" w:customStyle="1" w:styleId="Tabellasemplice-21">
    <w:name w:val="Tabella semplice - 21"/>
    <w:basedOn w:val="Tabellanormale"/>
    <w:uiPriority w:val="42"/>
    <w:rsid w:val="009D6CC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rsid w:val="00B64E86"/>
  </w:style>
  <w:style w:type="character" w:styleId="Enfasicorsivo">
    <w:name w:val="Emphasis"/>
    <w:uiPriority w:val="20"/>
    <w:qFormat/>
    <w:rsid w:val="00B64E86"/>
    <w:rPr>
      <w:i/>
      <w:iCs/>
    </w:rPr>
  </w:style>
  <w:style w:type="paragraph" w:customStyle="1" w:styleId="Testo">
    <w:name w:val="Testo"/>
    <w:basedOn w:val="Normale"/>
    <w:link w:val="TestoCarattere"/>
    <w:autoRedefine/>
    <w:qFormat/>
    <w:rsid w:val="0031398E"/>
    <w:pPr>
      <w:tabs>
        <w:tab w:val="clear" w:pos="7100"/>
      </w:tabs>
      <w:spacing w:after="160" w:line="312" w:lineRule="auto"/>
    </w:pPr>
    <w:rPr>
      <w:rFonts w:eastAsiaTheme="minorHAnsi" w:cs="Arial"/>
      <w:szCs w:val="18"/>
      <w:lang w:val="it-IT"/>
    </w:rPr>
  </w:style>
  <w:style w:type="character" w:customStyle="1" w:styleId="TestoCarattere">
    <w:name w:val="Testo Carattere"/>
    <w:basedOn w:val="Carpredefinitoparagrafo"/>
    <w:link w:val="Testo"/>
    <w:rsid w:val="0031398E"/>
    <w:rPr>
      <w:rFonts w:ascii="Arial" w:hAnsi="Arial" w:cs="Arial"/>
      <w:sz w:val="18"/>
      <w:szCs w:val="18"/>
    </w:rPr>
  </w:style>
  <w:style w:type="character" w:styleId="Testosegnaposto">
    <w:name w:val="Placeholder Text"/>
    <w:basedOn w:val="Carpredefinitoparagrafo"/>
    <w:uiPriority w:val="99"/>
    <w:semiHidden/>
    <w:rsid w:val="004566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8916">
      <w:bodyDiv w:val="1"/>
      <w:marLeft w:val="0"/>
      <w:marRight w:val="0"/>
      <w:marTop w:val="0"/>
      <w:marBottom w:val="0"/>
      <w:divBdr>
        <w:top w:val="none" w:sz="0" w:space="0" w:color="auto"/>
        <w:left w:val="none" w:sz="0" w:space="0" w:color="auto"/>
        <w:bottom w:val="none" w:sz="0" w:space="0" w:color="auto"/>
        <w:right w:val="none" w:sz="0" w:space="0" w:color="auto"/>
      </w:divBdr>
    </w:div>
    <w:div w:id="1279684292">
      <w:bodyDiv w:val="1"/>
      <w:marLeft w:val="0"/>
      <w:marRight w:val="0"/>
      <w:marTop w:val="0"/>
      <w:marBottom w:val="0"/>
      <w:divBdr>
        <w:top w:val="none" w:sz="0" w:space="0" w:color="auto"/>
        <w:left w:val="none" w:sz="0" w:space="0" w:color="auto"/>
        <w:bottom w:val="none" w:sz="0" w:space="0" w:color="auto"/>
        <w:right w:val="none" w:sz="0" w:space="0" w:color="auto"/>
      </w:divBdr>
    </w:div>
    <w:div w:id="146388217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7B878-35CD-4173-9D05-F1C2FB26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2925</Words>
  <Characters>16673</Characters>
  <Application>Microsoft Office Word</Application>
  <DocSecurity>0</DocSecurity>
  <Lines>138</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elisa pisati</cp:lastModifiedBy>
  <cp:revision>3</cp:revision>
  <cp:lastPrinted>2015-05-12T18:31:00Z</cp:lastPrinted>
  <dcterms:created xsi:type="dcterms:W3CDTF">2019-04-16T08:02:00Z</dcterms:created>
  <dcterms:modified xsi:type="dcterms:W3CDTF">2019-04-16T08:21:00Z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